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4B89E">
      <w:pPr>
        <w:pStyle w:val="2"/>
        <w:widowControl/>
        <w:snapToGrid w:val="0"/>
        <w:spacing w:before="0" w:after="0" w:line="360" w:lineRule="auto"/>
        <w:jc w:val="center"/>
        <w:rPr>
          <w:rFonts w:hint="eastAsia" w:ascii="宋体" w:hAnsi="宋体"/>
          <w:color w:val="auto"/>
          <w:highlight w:val="none"/>
        </w:rPr>
      </w:pPr>
      <w:r>
        <w:rPr>
          <w:rFonts w:hint="eastAsia" w:ascii="宋体" w:hAnsi="宋体"/>
          <w:color w:val="auto"/>
          <w:highlight w:val="none"/>
        </w:rPr>
        <w:t>采购需求及技术规格要求</w:t>
      </w:r>
    </w:p>
    <w:p w14:paraId="7602AC47">
      <w:pPr>
        <w:adjustRightInd w:val="0"/>
        <w:snapToGrid w:val="0"/>
        <w:spacing w:before="120" w:beforeLines="50" w:line="360" w:lineRule="auto"/>
        <w:rPr>
          <w:b/>
          <w:color w:val="auto"/>
          <w:sz w:val="24"/>
          <w:highlight w:val="none"/>
        </w:rPr>
      </w:pPr>
      <w:r>
        <w:rPr>
          <w:b/>
          <w:color w:val="auto"/>
          <w:sz w:val="24"/>
          <w:highlight w:val="none"/>
        </w:rPr>
        <w:t>1</w:t>
      </w:r>
      <w:r>
        <w:rPr>
          <w:rFonts w:hint="eastAsia"/>
          <w:b/>
          <w:color w:val="auto"/>
          <w:sz w:val="24"/>
          <w:highlight w:val="none"/>
        </w:rPr>
        <w:t>、</w:t>
      </w:r>
      <w:r>
        <w:rPr>
          <w:b/>
          <w:color w:val="auto"/>
          <w:sz w:val="24"/>
          <w:highlight w:val="none"/>
        </w:rPr>
        <w:t>货物需求一览表</w:t>
      </w:r>
    </w:p>
    <w:p w14:paraId="77D4A614">
      <w:pPr>
        <w:widowControl/>
        <w:spacing w:line="360" w:lineRule="auto"/>
        <w:ind w:firstLine="420" w:firstLineChars="200"/>
        <w:rPr>
          <w:rFonts w:ascii="宋体" w:hAnsi="宋体"/>
          <w:color w:val="auto"/>
          <w:szCs w:val="21"/>
          <w:highlight w:val="none"/>
        </w:rPr>
      </w:pPr>
    </w:p>
    <w:tbl>
      <w:tblPr>
        <w:tblStyle w:val="3"/>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3378"/>
        <w:gridCol w:w="768"/>
        <w:gridCol w:w="4529"/>
      </w:tblGrid>
      <w:tr w14:paraId="3FEC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center"/>
          </w:tcPr>
          <w:p w14:paraId="5122415B">
            <w:pPr>
              <w:adjustRightInd w:val="0"/>
              <w:snapToGrid w:val="0"/>
              <w:jc w:val="center"/>
              <w:rPr>
                <w:rFonts w:ascii="宋体" w:hAnsi="宋体"/>
                <w:color w:val="auto"/>
                <w:szCs w:val="21"/>
                <w:highlight w:val="none"/>
              </w:rPr>
            </w:pPr>
            <w:r>
              <w:rPr>
                <w:rFonts w:hint="eastAsia" w:ascii="宋体" w:hAnsi="宋体"/>
                <w:color w:val="auto"/>
                <w:szCs w:val="21"/>
                <w:highlight w:val="none"/>
              </w:rPr>
              <w:t>序号</w:t>
            </w:r>
          </w:p>
        </w:tc>
        <w:tc>
          <w:tcPr>
            <w:tcW w:w="3378" w:type="dxa"/>
            <w:noWrap w:val="0"/>
            <w:vAlign w:val="center"/>
          </w:tcPr>
          <w:p w14:paraId="70539C8C">
            <w:pPr>
              <w:adjustRightInd w:val="0"/>
              <w:snapToGrid w:val="0"/>
              <w:jc w:val="center"/>
              <w:rPr>
                <w:rFonts w:ascii="宋体" w:hAnsi="宋体"/>
                <w:color w:val="auto"/>
                <w:szCs w:val="21"/>
                <w:highlight w:val="none"/>
              </w:rPr>
            </w:pPr>
            <w:r>
              <w:rPr>
                <w:rFonts w:hint="eastAsia" w:ascii="宋体" w:hAnsi="宋体"/>
                <w:color w:val="auto"/>
                <w:szCs w:val="21"/>
                <w:highlight w:val="none"/>
              </w:rPr>
              <w:t>货物名称</w:t>
            </w:r>
          </w:p>
        </w:tc>
        <w:tc>
          <w:tcPr>
            <w:tcW w:w="768" w:type="dxa"/>
            <w:noWrap w:val="0"/>
            <w:vAlign w:val="center"/>
          </w:tcPr>
          <w:p w14:paraId="05229AAD">
            <w:pPr>
              <w:adjustRightInd w:val="0"/>
              <w:snapToGrid w:val="0"/>
              <w:jc w:val="center"/>
              <w:rPr>
                <w:rFonts w:ascii="宋体" w:hAnsi="宋体"/>
                <w:color w:val="auto"/>
                <w:szCs w:val="21"/>
                <w:highlight w:val="none"/>
              </w:rPr>
            </w:pPr>
            <w:r>
              <w:rPr>
                <w:rFonts w:hint="eastAsia" w:ascii="宋体" w:hAnsi="宋体"/>
                <w:color w:val="auto"/>
                <w:szCs w:val="21"/>
                <w:highlight w:val="none"/>
              </w:rPr>
              <w:t>数量</w:t>
            </w:r>
          </w:p>
        </w:tc>
        <w:tc>
          <w:tcPr>
            <w:tcW w:w="4529" w:type="dxa"/>
            <w:noWrap w:val="0"/>
            <w:vAlign w:val="center"/>
          </w:tcPr>
          <w:p w14:paraId="32EB6006">
            <w:pPr>
              <w:adjustRightInd w:val="0"/>
              <w:snapToGrid w:val="0"/>
              <w:jc w:val="center"/>
              <w:rPr>
                <w:rFonts w:ascii="宋体" w:hAnsi="宋体"/>
                <w:color w:val="auto"/>
                <w:szCs w:val="21"/>
                <w:highlight w:val="none"/>
              </w:rPr>
            </w:pPr>
            <w:r>
              <w:rPr>
                <w:rFonts w:hint="eastAsia" w:ascii="宋体" w:hAnsi="宋体"/>
                <w:color w:val="auto"/>
                <w:szCs w:val="21"/>
                <w:highlight w:val="none"/>
              </w:rPr>
              <w:t>交货期</w:t>
            </w:r>
          </w:p>
        </w:tc>
      </w:tr>
      <w:tr w14:paraId="6609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04" w:type="dxa"/>
            <w:noWrap w:val="0"/>
            <w:vAlign w:val="center"/>
          </w:tcPr>
          <w:p w14:paraId="34BEB3DC">
            <w:pPr>
              <w:adjustRightInd w:val="0"/>
              <w:snapToGrid w:val="0"/>
              <w:jc w:val="center"/>
              <w:rPr>
                <w:rFonts w:ascii="宋体" w:hAnsi="宋体"/>
                <w:color w:val="auto"/>
                <w:szCs w:val="21"/>
                <w:highlight w:val="none"/>
              </w:rPr>
            </w:pPr>
            <w:r>
              <w:rPr>
                <w:rFonts w:hint="eastAsia" w:ascii="宋体" w:hAnsi="宋体"/>
                <w:color w:val="auto"/>
                <w:szCs w:val="21"/>
                <w:highlight w:val="none"/>
              </w:rPr>
              <w:t>1</w:t>
            </w:r>
          </w:p>
        </w:tc>
        <w:tc>
          <w:tcPr>
            <w:tcW w:w="3378" w:type="dxa"/>
            <w:noWrap w:val="0"/>
            <w:vAlign w:val="center"/>
          </w:tcPr>
          <w:p w14:paraId="34B87DC2">
            <w:pPr>
              <w:adjustRightInd w:val="0"/>
              <w:snapToGrid w:val="0"/>
              <w:jc w:val="center"/>
              <w:rPr>
                <w:rFonts w:ascii="宋体" w:hAnsi="宋体"/>
                <w:color w:val="auto"/>
                <w:szCs w:val="21"/>
                <w:highlight w:val="none"/>
              </w:rPr>
            </w:pPr>
            <w:r>
              <w:rPr>
                <w:rFonts w:hint="eastAsia" w:ascii="宋体" w:hAnsi="宋体"/>
                <w:color w:val="auto"/>
                <w:szCs w:val="21"/>
                <w:highlight w:val="none"/>
              </w:rPr>
              <w:t>加速寿命实验平台真空杜瓦系统</w:t>
            </w:r>
          </w:p>
        </w:tc>
        <w:tc>
          <w:tcPr>
            <w:tcW w:w="768" w:type="dxa"/>
            <w:noWrap w:val="0"/>
            <w:vAlign w:val="center"/>
          </w:tcPr>
          <w:p w14:paraId="5A8C54B5">
            <w:pPr>
              <w:adjustRightInd w:val="0"/>
              <w:snapToGrid w:val="0"/>
              <w:jc w:val="center"/>
              <w:rPr>
                <w:rFonts w:ascii="宋体" w:hAnsi="宋体"/>
                <w:color w:val="auto"/>
                <w:szCs w:val="21"/>
                <w:highlight w:val="none"/>
              </w:rPr>
            </w:pPr>
            <w:r>
              <w:rPr>
                <w:rFonts w:hint="eastAsia" w:ascii="宋体" w:hAnsi="宋体"/>
                <w:color w:val="auto"/>
                <w:szCs w:val="21"/>
                <w:highlight w:val="none"/>
              </w:rPr>
              <w:t>1</w:t>
            </w:r>
          </w:p>
        </w:tc>
        <w:tc>
          <w:tcPr>
            <w:tcW w:w="4529" w:type="dxa"/>
            <w:noWrap w:val="0"/>
            <w:vAlign w:val="center"/>
          </w:tcPr>
          <w:p w14:paraId="6B789E65">
            <w:pPr>
              <w:adjustRightInd w:val="0"/>
              <w:snapToGrid w:val="0"/>
              <w:jc w:val="center"/>
              <w:rPr>
                <w:rFonts w:ascii="宋体" w:hAnsi="宋体"/>
                <w:color w:val="auto"/>
                <w:szCs w:val="21"/>
                <w:highlight w:val="none"/>
              </w:rPr>
            </w:pPr>
            <w:r>
              <w:rPr>
                <w:rFonts w:hint="eastAsia" w:ascii="宋体" w:hAnsi="宋体" w:cs="Calibri"/>
                <w:color w:val="auto"/>
                <w:szCs w:val="21"/>
                <w:highlight w:val="none"/>
              </w:rPr>
              <w:t>见前附表</w:t>
            </w:r>
          </w:p>
        </w:tc>
      </w:tr>
    </w:tbl>
    <w:p w14:paraId="2C82FF79">
      <w:pPr>
        <w:adjustRightInd w:val="0"/>
        <w:snapToGrid w:val="0"/>
        <w:spacing w:line="360" w:lineRule="auto"/>
        <w:ind w:firstLine="482" w:firstLineChars="200"/>
        <w:rPr>
          <w:rFonts w:hint="eastAsia"/>
          <w:b/>
          <w:color w:val="auto"/>
          <w:sz w:val="24"/>
          <w:highlight w:val="none"/>
        </w:rPr>
      </w:pPr>
      <w:bookmarkStart w:id="0" w:name="_Toc12010815"/>
      <w:bookmarkStart w:id="1" w:name="_Toc257021215"/>
      <w:bookmarkStart w:id="2" w:name="_Toc12010788"/>
      <w:bookmarkStart w:id="3" w:name="_Toc532807472"/>
      <w:bookmarkStart w:id="4" w:name="_Toc30409514"/>
      <w:bookmarkStart w:id="5" w:name="_Toc509153917"/>
    </w:p>
    <w:p w14:paraId="279BEFB4">
      <w:pPr>
        <w:adjustRightInd w:val="0"/>
        <w:snapToGrid w:val="0"/>
        <w:spacing w:before="120" w:beforeLines="50" w:line="360" w:lineRule="auto"/>
        <w:rPr>
          <w:rFonts w:hint="eastAsia"/>
          <w:b/>
          <w:color w:val="auto"/>
          <w:sz w:val="24"/>
          <w:highlight w:val="none"/>
        </w:rPr>
      </w:pPr>
      <w:r>
        <w:rPr>
          <w:b/>
          <w:color w:val="auto"/>
          <w:sz w:val="24"/>
          <w:highlight w:val="none"/>
        </w:rPr>
        <w:t>2</w:t>
      </w:r>
      <w:r>
        <w:rPr>
          <w:rFonts w:hint="eastAsia"/>
          <w:b/>
          <w:color w:val="auto"/>
          <w:sz w:val="24"/>
          <w:highlight w:val="none"/>
        </w:rPr>
        <w:t>、</w:t>
      </w:r>
      <w:r>
        <w:rPr>
          <w:b/>
          <w:color w:val="auto"/>
          <w:sz w:val="24"/>
          <w:highlight w:val="none"/>
        </w:rPr>
        <w:t>工程技术要求</w:t>
      </w:r>
      <w:bookmarkEnd w:id="0"/>
      <w:bookmarkEnd w:id="1"/>
      <w:bookmarkEnd w:id="2"/>
      <w:bookmarkEnd w:id="3"/>
      <w:bookmarkEnd w:id="4"/>
      <w:bookmarkEnd w:id="5"/>
    </w:p>
    <w:p w14:paraId="6334ECD6">
      <w:pPr>
        <w:adjustRightInd w:val="0"/>
        <w:snapToGrid w:val="0"/>
        <w:spacing w:before="120" w:beforeLines="50" w:line="360" w:lineRule="auto"/>
        <w:rPr>
          <w:b/>
          <w:color w:val="auto"/>
          <w:sz w:val="24"/>
          <w:highlight w:val="none"/>
        </w:rPr>
      </w:pPr>
      <w:r>
        <w:rPr>
          <w:b/>
          <w:color w:val="auto"/>
          <w:sz w:val="24"/>
          <w:highlight w:val="none"/>
        </w:rPr>
        <w:t>2.</w:t>
      </w:r>
      <w:r>
        <w:rPr>
          <w:rFonts w:hint="eastAsia"/>
          <w:b/>
          <w:color w:val="auto"/>
          <w:sz w:val="24"/>
          <w:highlight w:val="none"/>
        </w:rPr>
        <w:t>1、</w:t>
      </w:r>
      <w:r>
        <w:rPr>
          <w:b/>
          <w:color w:val="auto"/>
          <w:sz w:val="24"/>
          <w:highlight w:val="none"/>
        </w:rPr>
        <w:t>设备的主要用途及功能</w:t>
      </w:r>
    </w:p>
    <w:p w14:paraId="79C46234">
      <w:pPr>
        <w:adjustRightInd w:val="0"/>
        <w:snapToGrid w:val="0"/>
        <w:spacing w:before="120" w:beforeLines="50" w:line="360" w:lineRule="auto"/>
        <w:ind w:firstLine="420"/>
        <w:rPr>
          <w:rFonts w:hint="eastAsia"/>
          <w:b/>
          <w:color w:val="auto"/>
          <w:sz w:val="24"/>
          <w:highlight w:val="none"/>
        </w:rPr>
      </w:pPr>
      <w:r>
        <w:rPr>
          <w:rFonts w:hint="eastAsia" w:ascii="宋体" w:hAnsi="宋体"/>
          <w:color w:val="auto"/>
          <w:highlight w:val="none"/>
        </w:rPr>
        <w:t>加速寿命实验平台需要研发一套真空杜瓦系统，含移动平台、支撑部件、热沉部件和维护平台等，用于实现低温环境下超导力学性能试验，等离子体热冲击下超导磁体性能验证等。除了一般真空杜瓦系统中要求的高效率、高可靠性、密封性能之外，还要综合考虑测试平台中的真空抽气系统、诊断测量系统、控制系统、测试件移动平台和水冷系统等接口布置。</w:t>
      </w:r>
    </w:p>
    <w:p w14:paraId="4BC4836C">
      <w:pPr>
        <w:adjustRightInd w:val="0"/>
        <w:snapToGrid w:val="0"/>
        <w:spacing w:before="120" w:beforeLines="50" w:line="360" w:lineRule="auto"/>
        <w:rPr>
          <w:b/>
          <w:color w:val="auto"/>
          <w:sz w:val="24"/>
          <w:highlight w:val="none"/>
        </w:rPr>
      </w:pPr>
      <w:r>
        <w:rPr>
          <w:b/>
          <w:color w:val="auto"/>
          <w:sz w:val="24"/>
          <w:highlight w:val="none"/>
        </w:rPr>
        <w:t>2.3</w:t>
      </w:r>
      <w:r>
        <w:rPr>
          <w:rFonts w:hint="eastAsia"/>
          <w:b/>
          <w:color w:val="auto"/>
          <w:sz w:val="24"/>
          <w:highlight w:val="none"/>
        </w:rPr>
        <w:t xml:space="preserve">、 </w:t>
      </w:r>
      <w:r>
        <w:rPr>
          <w:b/>
          <w:color w:val="auto"/>
          <w:sz w:val="24"/>
          <w:highlight w:val="none"/>
        </w:rPr>
        <w:t>工作条件</w:t>
      </w:r>
    </w:p>
    <w:p w14:paraId="6DB28E75">
      <w:pPr>
        <w:widowControl/>
        <w:adjustRightInd w:val="0"/>
        <w:snapToGrid w:val="0"/>
        <w:spacing w:line="360" w:lineRule="auto"/>
        <w:rPr>
          <w:color w:val="auto"/>
          <w:highlight w:val="none"/>
          <w:lang w:bidi="en-US"/>
        </w:rPr>
      </w:pPr>
      <w:r>
        <w:rPr>
          <w:color w:val="auto"/>
          <w:highlight w:val="none"/>
          <w:lang w:bidi="en-US"/>
        </w:rPr>
        <w:t>（1）工作、启动温度：-10℃～+100℃；储存温度：-30℃～+60℃；</w:t>
      </w:r>
    </w:p>
    <w:p w14:paraId="20FE2A83">
      <w:pPr>
        <w:adjustRightInd w:val="0"/>
        <w:snapToGrid w:val="0"/>
        <w:spacing w:before="120" w:beforeLines="50" w:line="360" w:lineRule="auto"/>
        <w:rPr>
          <w:rFonts w:hint="eastAsia"/>
          <w:b/>
          <w:color w:val="auto"/>
          <w:sz w:val="24"/>
          <w:highlight w:val="none"/>
        </w:rPr>
      </w:pPr>
      <w:r>
        <w:rPr>
          <w:color w:val="auto"/>
          <w:highlight w:val="none"/>
          <w:lang w:bidi="en-US"/>
        </w:rPr>
        <w:t>（2）高电气绝缘：整个系统，尤其是监测电路，必须能承受磁体励磁或失超时产生的高电压（可达数千伏）</w:t>
      </w:r>
    </w:p>
    <w:p w14:paraId="7963B9A5">
      <w:pPr>
        <w:adjustRightInd w:val="0"/>
        <w:snapToGrid w:val="0"/>
        <w:spacing w:before="120" w:beforeLines="50" w:line="360" w:lineRule="auto"/>
        <w:rPr>
          <w:b/>
          <w:color w:val="auto"/>
          <w:sz w:val="24"/>
          <w:highlight w:val="none"/>
        </w:rPr>
      </w:pPr>
      <w:r>
        <w:rPr>
          <w:b/>
          <w:color w:val="auto"/>
          <w:sz w:val="24"/>
          <w:highlight w:val="none"/>
        </w:rPr>
        <w:t>2.4</w:t>
      </w:r>
      <w:r>
        <w:rPr>
          <w:rFonts w:hint="eastAsia"/>
          <w:b/>
          <w:color w:val="auto"/>
          <w:sz w:val="24"/>
          <w:highlight w:val="none"/>
        </w:rPr>
        <w:t>、</w:t>
      </w:r>
      <w:r>
        <w:rPr>
          <w:b/>
          <w:color w:val="auto"/>
          <w:sz w:val="24"/>
          <w:highlight w:val="none"/>
        </w:rPr>
        <w:t xml:space="preserve"> 技术性能指标要求</w:t>
      </w:r>
    </w:p>
    <w:p w14:paraId="45AA9F09">
      <w:pPr>
        <w:spacing w:line="360" w:lineRule="auto"/>
        <w:ind w:firstLine="489"/>
        <w:rPr>
          <w:color w:val="auto"/>
          <w:highlight w:val="none"/>
        </w:rPr>
      </w:pPr>
      <w:r>
        <w:rPr>
          <w:color w:val="auto"/>
          <w:highlight w:val="none"/>
        </w:rPr>
        <w:t>加速寿命实验平台真空杜瓦系统主要由</w:t>
      </w:r>
      <w:r>
        <w:rPr>
          <w:rFonts w:hint="eastAsia"/>
          <w:color w:val="auto"/>
          <w:highlight w:val="none"/>
        </w:rPr>
        <w:t>真空杜瓦系统</w:t>
      </w:r>
      <w:r>
        <w:rPr>
          <w:color w:val="auto"/>
          <w:highlight w:val="none"/>
        </w:rPr>
        <w:t>体主体、左右两侧真空腔门及支撑、移动测试平台、气动卡钳组件、真空腔维护平台、真空腔泵组前级管路（含相应的波纹管和转接法兰），以及若干密封圈、波纹管、卡箍等真空系统辅材组成。其核心技术指标为：</w:t>
      </w:r>
    </w:p>
    <w:p w14:paraId="2AC32A75">
      <w:pPr>
        <w:spacing w:line="360" w:lineRule="auto"/>
        <w:ind w:firstLine="489"/>
        <w:rPr>
          <w:rFonts w:hint="eastAsia"/>
          <w:color w:val="auto"/>
          <w:highlight w:val="none"/>
        </w:rPr>
      </w:pPr>
      <w:r>
        <w:rPr>
          <w:rFonts w:hint="eastAsia"/>
          <w:b/>
          <w:bCs/>
          <w:color w:val="auto"/>
          <w:highlight w:val="none"/>
        </w:rPr>
        <w:t>（1）主体结构与材料参数要求</w:t>
      </w:r>
      <w:r>
        <w:rPr>
          <w:rFonts w:hint="eastAsia"/>
          <w:color w:val="auto"/>
          <w:highlight w:val="none"/>
        </w:rPr>
        <w:t>：</w:t>
      </w:r>
    </w:p>
    <w:p w14:paraId="7E5B0C78">
      <w:pPr>
        <w:pStyle w:val="5"/>
        <w:numPr>
          <w:ilvl w:val="0"/>
          <w:numId w:val="1"/>
        </w:numPr>
        <w:spacing w:line="360" w:lineRule="auto"/>
        <w:ind w:firstLineChars="0"/>
        <w:rPr>
          <w:color w:val="auto"/>
          <w:highlight w:val="none"/>
        </w:rPr>
      </w:pPr>
      <w:r>
        <w:rPr>
          <w:rFonts w:hint="eastAsia"/>
          <w:color w:val="auto"/>
          <w:highlight w:val="none"/>
        </w:rPr>
        <w:t>真空杜瓦系统本体参数：尺寸为内直径3</w:t>
      </w:r>
      <w:r>
        <w:rPr>
          <w:color w:val="auto"/>
          <w:highlight w:val="none"/>
        </w:rPr>
        <w:t>.6m</w:t>
      </w:r>
      <w:r>
        <w:rPr>
          <w:rFonts w:hint="eastAsia"/>
          <w:color w:val="auto"/>
          <w:highlight w:val="none"/>
        </w:rPr>
        <w:t xml:space="preserve">，长度10.67 </w:t>
      </w:r>
      <w:r>
        <w:rPr>
          <w:color w:val="auto"/>
          <w:highlight w:val="none"/>
        </w:rPr>
        <w:t>m</w:t>
      </w:r>
      <w:r>
        <w:rPr>
          <w:rFonts w:hint="eastAsia"/>
          <w:color w:val="auto"/>
          <w:highlight w:val="none"/>
        </w:rPr>
        <w:t>，壁厚16</w:t>
      </w:r>
      <w:r>
        <w:rPr>
          <w:color w:val="auto"/>
          <w:highlight w:val="none"/>
        </w:rPr>
        <w:t xml:space="preserve"> mm</w:t>
      </w:r>
      <w:r>
        <w:rPr>
          <w:rFonts w:hint="eastAsia"/>
          <w:color w:val="auto"/>
          <w:highlight w:val="none"/>
        </w:rPr>
        <w:t>，真空杜瓦系统内侧采用圆环和横梁加强筋强化。单侧真空杜瓦系统门可以打开最大角度为95°，并且要求有限位缓冲结构。</w:t>
      </w:r>
    </w:p>
    <w:p w14:paraId="05DF92AC">
      <w:pPr>
        <w:pStyle w:val="5"/>
        <w:numPr>
          <w:ilvl w:val="0"/>
          <w:numId w:val="1"/>
        </w:numPr>
        <w:spacing w:line="360" w:lineRule="auto"/>
        <w:ind w:firstLineChars="0"/>
        <w:rPr>
          <w:color w:val="auto"/>
          <w:highlight w:val="none"/>
        </w:rPr>
      </w:pPr>
      <w:r>
        <w:rPr>
          <w:rFonts w:hint="eastAsia"/>
          <w:color w:val="auto"/>
          <w:highlight w:val="none"/>
        </w:rPr>
        <w:t>真空杜瓦系统主体结构必须采用奥氏体无磁不锈钢（如</w:t>
      </w:r>
      <w:r>
        <w:rPr>
          <w:color w:val="auto"/>
          <w:highlight w:val="none"/>
        </w:rPr>
        <w:t>304L）</w:t>
      </w:r>
      <w:r>
        <w:rPr>
          <w:rFonts w:hint="eastAsia"/>
          <w:color w:val="auto"/>
          <w:highlight w:val="none"/>
        </w:rPr>
        <w:t>。</w:t>
      </w:r>
    </w:p>
    <w:p w14:paraId="1F8BBCB7">
      <w:pPr>
        <w:pStyle w:val="5"/>
        <w:numPr>
          <w:ilvl w:val="0"/>
          <w:numId w:val="1"/>
        </w:numPr>
        <w:spacing w:line="360" w:lineRule="auto"/>
        <w:ind w:firstLineChars="0"/>
        <w:rPr>
          <w:color w:val="auto"/>
          <w:highlight w:val="none"/>
        </w:rPr>
      </w:pPr>
      <w:r>
        <w:rPr>
          <w:rFonts w:hint="eastAsia"/>
          <w:color w:val="auto"/>
          <w:highlight w:val="none"/>
        </w:rPr>
        <w:t>真空杜瓦系统内表面要求机械抛光处理，表面粗糙度粗优于</w:t>
      </w:r>
      <w:r>
        <w:rPr>
          <w:color w:val="auto"/>
          <w:highlight w:val="none"/>
        </w:rPr>
        <w:t xml:space="preserve"> 1.6 μm，无油、脂、划痕、焊瘤、机加工刀纹</w:t>
      </w:r>
      <w:r>
        <w:rPr>
          <w:rFonts w:hint="eastAsia"/>
          <w:color w:val="auto"/>
          <w:highlight w:val="none"/>
        </w:rPr>
        <w:t>。真空杜瓦系统外表面要求表面机械抛光，表面粗糙度优于3.2um，</w:t>
      </w:r>
      <w:r>
        <w:rPr>
          <w:color w:val="auto"/>
          <w:highlight w:val="none"/>
        </w:rPr>
        <w:t>无油、脂、划痕、焊瘤、机加工刀纹</w:t>
      </w:r>
      <w:r>
        <w:rPr>
          <w:rFonts w:hint="eastAsia" w:ascii="微软雅黑" w:hAnsi="微软雅黑" w:eastAsia="微软雅黑" w:cs="微软雅黑"/>
          <w:color w:val="auto"/>
          <w:sz w:val="19"/>
          <w:szCs w:val="19"/>
          <w:highlight w:val="none"/>
          <w:shd w:val="clear" w:color="auto" w:fill="FFFFFF"/>
        </w:rPr>
        <w:t>。</w:t>
      </w:r>
    </w:p>
    <w:p w14:paraId="2E1DA683">
      <w:pPr>
        <w:pStyle w:val="5"/>
        <w:numPr>
          <w:ilvl w:val="0"/>
          <w:numId w:val="1"/>
        </w:numPr>
        <w:spacing w:line="360" w:lineRule="auto"/>
        <w:ind w:firstLineChars="0"/>
        <w:rPr>
          <w:color w:val="auto"/>
          <w:highlight w:val="none"/>
        </w:rPr>
      </w:pPr>
      <w:r>
        <w:rPr>
          <w:rFonts w:hint="eastAsia"/>
          <w:color w:val="auto"/>
          <w:highlight w:val="none"/>
        </w:rPr>
        <w:t>结构完整性：真空杜瓦系统门支撑关节活动灵活，卡钳夹持力满足密封要求，便于安装、检漏与维护。</w:t>
      </w:r>
    </w:p>
    <w:p w14:paraId="340B0211">
      <w:pPr>
        <w:pStyle w:val="5"/>
        <w:numPr>
          <w:ilvl w:val="0"/>
          <w:numId w:val="1"/>
        </w:numPr>
        <w:spacing w:line="360" w:lineRule="auto"/>
        <w:ind w:firstLineChars="0"/>
        <w:rPr>
          <w:color w:val="auto"/>
          <w:highlight w:val="none"/>
        </w:rPr>
      </w:pPr>
      <w:r>
        <w:rPr>
          <w:rFonts w:hint="eastAsia"/>
          <w:color w:val="auto"/>
          <w:highlight w:val="none"/>
        </w:rPr>
        <w:t>真空杜瓦系统窗口布置为：6</w:t>
      </w:r>
      <w:r>
        <w:rPr>
          <w:color w:val="auto"/>
          <w:highlight w:val="none"/>
        </w:rPr>
        <w:t>×DN32、</w:t>
      </w:r>
      <w:r>
        <w:rPr>
          <w:rFonts w:hint="eastAsia"/>
          <w:color w:val="auto"/>
          <w:highlight w:val="none"/>
        </w:rPr>
        <w:t>8</w:t>
      </w:r>
      <w:r>
        <w:rPr>
          <w:color w:val="auto"/>
          <w:highlight w:val="none"/>
        </w:rPr>
        <w:t>×DN80、</w:t>
      </w:r>
      <w:r>
        <w:rPr>
          <w:rFonts w:hint="eastAsia"/>
          <w:color w:val="auto"/>
          <w:highlight w:val="none"/>
        </w:rPr>
        <w:t>4</w:t>
      </w:r>
      <w:r>
        <w:rPr>
          <w:color w:val="auto"/>
          <w:highlight w:val="none"/>
        </w:rPr>
        <w:t>×DN100、</w:t>
      </w:r>
      <w:r>
        <w:rPr>
          <w:rFonts w:hint="eastAsia"/>
          <w:color w:val="auto"/>
          <w:highlight w:val="none"/>
        </w:rPr>
        <w:t>5</w:t>
      </w:r>
      <w:r>
        <w:rPr>
          <w:color w:val="auto"/>
          <w:highlight w:val="none"/>
        </w:rPr>
        <w:t>×DN160、</w:t>
      </w:r>
      <w:r>
        <w:rPr>
          <w:rFonts w:hint="eastAsia"/>
          <w:color w:val="auto"/>
          <w:highlight w:val="none"/>
        </w:rPr>
        <w:t>38</w:t>
      </w:r>
      <w:r>
        <w:rPr>
          <w:color w:val="auto"/>
          <w:highlight w:val="none"/>
        </w:rPr>
        <w:t>×DN200、</w:t>
      </w:r>
      <w:r>
        <w:rPr>
          <w:rFonts w:hint="eastAsia"/>
          <w:color w:val="auto"/>
          <w:highlight w:val="none"/>
        </w:rPr>
        <w:t>6</w:t>
      </w:r>
      <w:r>
        <w:rPr>
          <w:color w:val="auto"/>
          <w:highlight w:val="none"/>
        </w:rPr>
        <w:t>×DN2</w:t>
      </w:r>
      <w:r>
        <w:rPr>
          <w:rFonts w:hint="eastAsia"/>
          <w:color w:val="auto"/>
          <w:highlight w:val="none"/>
        </w:rPr>
        <w:t>5</w:t>
      </w:r>
      <w:r>
        <w:rPr>
          <w:color w:val="auto"/>
          <w:highlight w:val="none"/>
        </w:rPr>
        <w:t>0</w:t>
      </w:r>
      <w:r>
        <w:rPr>
          <w:rFonts w:hint="eastAsia"/>
          <w:color w:val="auto"/>
          <w:highlight w:val="none"/>
        </w:rPr>
        <w:t>、8</w:t>
      </w:r>
      <w:r>
        <w:rPr>
          <w:color w:val="auto"/>
          <w:highlight w:val="none"/>
        </w:rPr>
        <w:t>×DN400</w:t>
      </w:r>
      <w:r>
        <w:rPr>
          <w:rFonts w:hint="eastAsia"/>
          <w:color w:val="auto"/>
          <w:highlight w:val="none"/>
        </w:rPr>
        <w:t>，5×DN1000，其中用于DN200法兰颈管以下的窗口法兰规格为</w:t>
      </w:r>
      <w:r>
        <w:rPr>
          <w:color w:val="auto"/>
          <w:highlight w:val="none"/>
        </w:rPr>
        <w:t>CF</w:t>
      </w:r>
      <w:r>
        <w:rPr>
          <w:rFonts w:hint="eastAsia"/>
          <w:color w:val="auto"/>
          <w:highlight w:val="none"/>
        </w:rPr>
        <w:t>法兰，6个DN250颈管法兰为有两种规格为：4个CF250颈管法兰，2个ISO-F DN250颈管法兰。DN250颈管法兰规格为ISO-F法兰；</w:t>
      </w:r>
    </w:p>
    <w:p w14:paraId="1EA65658">
      <w:pPr>
        <w:pStyle w:val="5"/>
        <w:numPr>
          <w:ilvl w:val="0"/>
          <w:numId w:val="1"/>
        </w:numPr>
        <w:spacing w:line="360" w:lineRule="auto"/>
        <w:ind w:firstLineChars="0"/>
        <w:rPr>
          <w:color w:val="auto"/>
          <w:highlight w:val="none"/>
        </w:rPr>
      </w:pPr>
      <w:r>
        <w:rPr>
          <w:rFonts w:hint="eastAsia"/>
          <w:color w:val="auto"/>
          <w:highlight w:val="none"/>
        </w:rPr>
        <w:t>真空杜瓦系统的观察窗有两种规格：腰孔观察窗（长×宽：1040mm×360mm，数量：5）；矩形观察窗（长×宽：393mm×213mm，数量1个）；圆形观察窗1（接口：CF200，数量4个）；圆形观察窗2(接口：CF160，数量4个）。</w:t>
      </w:r>
    </w:p>
    <w:p w14:paraId="1DD16D0F">
      <w:pPr>
        <w:pStyle w:val="5"/>
        <w:numPr>
          <w:ilvl w:val="0"/>
          <w:numId w:val="1"/>
        </w:numPr>
        <w:spacing w:line="360" w:lineRule="auto"/>
        <w:ind w:firstLineChars="0"/>
        <w:rPr>
          <w:rFonts w:hint="eastAsia"/>
          <w:color w:val="auto"/>
          <w:highlight w:val="none"/>
        </w:rPr>
      </w:pPr>
      <w:r>
        <w:rPr>
          <w:rFonts w:hint="eastAsia"/>
          <w:color w:val="auto"/>
          <w:highlight w:val="none"/>
        </w:rPr>
        <w:t>真空杜瓦系统维护平台要求爬梯可拆，且安装维护方便，其中维护平台底板要求用不锈钢栅格板，护栏采用不锈钢钢管。维护平台可以承重要求不低于800kg/m2。</w:t>
      </w:r>
    </w:p>
    <w:p w14:paraId="5B92720C">
      <w:pPr>
        <w:pStyle w:val="5"/>
        <w:numPr>
          <w:ilvl w:val="0"/>
          <w:numId w:val="1"/>
        </w:numPr>
        <w:spacing w:line="360" w:lineRule="auto"/>
        <w:ind w:firstLineChars="0"/>
        <w:rPr>
          <w:rFonts w:hint="eastAsia"/>
          <w:color w:val="auto"/>
          <w:highlight w:val="none"/>
        </w:rPr>
      </w:pPr>
      <w:r>
        <w:rPr>
          <w:rFonts w:hint="eastAsia"/>
          <w:color w:val="auto"/>
          <w:highlight w:val="none"/>
        </w:rPr>
        <w:t>等离子体源：功率20~30kW，电弧电压80 – 150 V（典型），等离子射流温度6,000 – 15,000 K（约5,700 – 14,700°C）。</w:t>
      </w:r>
    </w:p>
    <w:p w14:paraId="0461626B">
      <w:r>
        <w:rPr>
          <w:rFonts w:hint="eastAsia"/>
          <w:color w:val="auto"/>
          <w:highlight w:val="none"/>
        </w:rPr>
        <w:t>真空杜瓦系统正面两端需要喷上中国科学院、中国科学院合肥物质科学研究院和中国科学院等离子体物理研究所的logo，logo喷涂区域尺寸为：长2m×宽0.6m</w:t>
      </w:r>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51C12"/>
    <w:multiLevelType w:val="multilevel"/>
    <w:tmpl w:val="7D451C12"/>
    <w:lvl w:ilvl="0" w:tentative="0">
      <w:start w:val="1"/>
      <w:numFmt w:val="decimal"/>
      <w:lvlText w:val="%1)"/>
      <w:lvlJc w:val="left"/>
      <w:pPr>
        <w:ind w:left="1260" w:hanging="420"/>
      </w:pPr>
      <w:rPr>
        <w:rFonts w:hint="default"/>
        <w:sz w:val="24"/>
        <w:szCs w:val="24"/>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2A1CEC"/>
    <w:rsid w:val="392A1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2026-09-04T07:34:00Z</dcterms:created>
  <dc:creator>宋方方</dc:creator>
  <cp:lastModifiedBy>宋方方</cp:lastModifiedBy>
  <dcterms:modified xsi:type="dcterms:W3CDTF">2026-09-04T07:34:52Z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65BFF55B534A47A693725F191159F368_11</vt:lpwstr>
  </property>
  <property fmtid="{D5CDD505-2E9C-101B-9397-08002B2CF9AE}" pid="4" name="KSOTemplateDocerSaveRecord">
    <vt:lpwstr>eyJoZGlkIjoiY2ZjZDI4YmRkZDY3MGZmNjNjY2JiZTFlYmI4OWM0ZWEiLCJ1c2VySWQiOiIxNzYzODEyODI4In0=</vt:lpwstr>
  </property>
</Properties>
</file>