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7F7532">
      <w:pPr>
        <w:pStyle w:val="3"/>
        <w:jc w:val="center"/>
        <w:rPr>
          <w:rFonts w:ascii="Times New Roman" w:hAnsi="Times New Roman"/>
          <w:color w:val="auto"/>
          <w:highlight w:val="none"/>
        </w:rPr>
      </w:pPr>
      <w:r>
        <w:rPr>
          <w:rFonts w:ascii="Times New Roman" w:hAnsi="Times New Roman"/>
          <w:color w:val="auto"/>
          <w:highlight w:val="none"/>
        </w:rPr>
        <w:t>工程技术要求</w:t>
      </w:r>
    </w:p>
    <w:p w14:paraId="238137D1">
      <w:pPr>
        <w:pStyle w:val="2"/>
        <w:numPr>
          <w:ilvl w:val="0"/>
          <w:numId w:val="2"/>
        </w:numPr>
        <w:spacing w:line="360" w:lineRule="auto"/>
        <w:jc w:val="both"/>
        <w:rPr>
          <w:rFonts w:ascii="Times New Roman" w:hAnsi="Times New Roman" w:eastAsia="宋体" w:cs="Times New Roman"/>
          <w:color w:val="auto"/>
          <w:highlight w:val="none"/>
        </w:rPr>
      </w:pPr>
      <w:bookmarkStart w:id="0" w:name="_Toc492975178"/>
      <w:bookmarkStart w:id="1" w:name="_Toc55393913"/>
      <w:bookmarkStart w:id="2" w:name="_Toc231463177"/>
      <w:bookmarkStart w:id="3" w:name="_Toc480533541"/>
      <w:bookmarkStart w:id="4" w:name="_Toc266794622"/>
      <w:bookmarkStart w:id="5" w:name="_Toc231463208"/>
      <w:bookmarkStart w:id="6" w:name="_Toc524687751"/>
      <w:bookmarkStart w:id="7" w:name="_Toc519584756"/>
      <w:bookmarkStart w:id="8" w:name="_Toc492974356"/>
      <w:r>
        <w:rPr>
          <w:rFonts w:ascii="Times New Roman" w:hAnsi="Times New Roman" w:eastAsia="宋体" w:cs="Times New Roman"/>
          <w:color w:val="auto"/>
          <w:highlight w:val="none"/>
        </w:rPr>
        <w:t>设备的主要用途及功能</w:t>
      </w:r>
      <w:bookmarkEnd w:id="0"/>
      <w:bookmarkEnd w:id="1"/>
      <w:bookmarkEnd w:id="2"/>
      <w:bookmarkEnd w:id="3"/>
      <w:bookmarkEnd w:id="4"/>
      <w:bookmarkEnd w:id="5"/>
      <w:bookmarkEnd w:id="6"/>
      <w:bookmarkEnd w:id="7"/>
      <w:bookmarkEnd w:id="8"/>
    </w:p>
    <w:p w14:paraId="2F4700DA">
      <w:pPr>
        <w:ind w:firstLine="0" w:firstLineChars="0"/>
        <w:outlineLvl w:val="1"/>
        <w:rPr>
          <w:rFonts w:ascii="Times New Roman" w:hAnsi="Times New Roman"/>
          <w:b/>
          <w:bCs/>
          <w:color w:val="auto"/>
          <w:highlight w:val="none"/>
          <w:lang w:eastAsia="zh-CN"/>
        </w:rPr>
      </w:pPr>
      <w:bookmarkStart w:id="9" w:name="_Toc231463209"/>
      <w:bookmarkStart w:id="10" w:name="_Toc231463178"/>
      <w:r>
        <w:rPr>
          <w:rFonts w:ascii="Times New Roman" w:hAnsi="Times New Roman"/>
          <w:b/>
          <w:bCs/>
          <w:color w:val="auto"/>
          <w:highlight w:val="none"/>
          <w:lang w:eastAsia="zh-CN"/>
        </w:rPr>
        <w:t>1.1循环风机橇块及功能附件</w:t>
      </w:r>
      <w:bookmarkEnd w:id="9"/>
      <w:bookmarkEnd w:id="10"/>
    </w:p>
    <w:p w14:paraId="11D76143">
      <w:pPr>
        <w:spacing w:line="360" w:lineRule="auto"/>
        <w:ind w:firstLine="480"/>
        <w:rPr>
          <w:rFonts w:ascii="Times New Roman" w:hAnsi="Times New Roman"/>
          <w:color w:val="auto"/>
          <w:highlight w:val="none"/>
          <w:lang w:eastAsia="zh-CN"/>
        </w:rPr>
      </w:pPr>
      <w:r>
        <w:rPr>
          <w:rFonts w:ascii="Times New Roman" w:hAnsi="Times New Roman"/>
          <w:color w:val="auto"/>
          <w:highlight w:val="none"/>
          <w:lang w:eastAsia="zh-CN"/>
        </w:rPr>
        <w:t>循环风机橇块主要由以下部分构成：</w:t>
      </w:r>
    </w:p>
    <w:p w14:paraId="0EBB0263">
      <w:pPr>
        <w:numPr>
          <w:ilvl w:val="0"/>
          <w:numId w:val="3"/>
        </w:numPr>
        <w:spacing w:line="360" w:lineRule="auto"/>
        <w:ind w:left="0" w:firstLine="480"/>
        <w:rPr>
          <w:rFonts w:ascii="Times New Roman" w:hAnsi="Times New Roman"/>
          <w:color w:val="auto"/>
          <w:highlight w:val="none"/>
          <w:lang w:eastAsia="zh-CN"/>
        </w:rPr>
      </w:pPr>
      <w:r>
        <w:rPr>
          <w:rFonts w:ascii="Times New Roman" w:hAnsi="Times New Roman"/>
          <w:color w:val="auto"/>
          <w:highlight w:val="none"/>
          <w:lang w:eastAsia="zh-CN"/>
        </w:rPr>
        <w:t>列管式水冷换热器；</w:t>
      </w:r>
    </w:p>
    <w:p w14:paraId="37574889">
      <w:pPr>
        <w:numPr>
          <w:ilvl w:val="0"/>
          <w:numId w:val="3"/>
        </w:numPr>
        <w:spacing w:line="360" w:lineRule="auto"/>
        <w:ind w:left="0" w:firstLine="480"/>
        <w:rPr>
          <w:rFonts w:ascii="Times New Roman" w:hAnsi="Times New Roman"/>
          <w:color w:val="auto"/>
          <w:highlight w:val="none"/>
          <w:lang w:eastAsia="zh-CN"/>
        </w:rPr>
      </w:pPr>
      <w:r>
        <w:rPr>
          <w:rFonts w:ascii="Times New Roman" w:hAnsi="Times New Roman"/>
          <w:color w:val="auto"/>
          <w:highlight w:val="none"/>
          <w:lang w:eastAsia="zh-CN"/>
        </w:rPr>
        <w:t>循环风机</w:t>
      </w:r>
      <w:r>
        <w:rPr>
          <w:rFonts w:hint="eastAsia" w:ascii="Times New Roman" w:hAnsi="Times New Roman"/>
          <w:color w:val="auto"/>
          <w:highlight w:val="none"/>
          <w:lang w:eastAsia="zh-CN"/>
        </w:rPr>
        <w:t>（甲供</w:t>
      </w:r>
      <w:r>
        <w:rPr>
          <w:rFonts w:ascii="Times New Roman" w:hAnsi="Times New Roman"/>
          <w:color w:val="auto"/>
          <w:highlight w:val="none"/>
          <w:lang w:eastAsia="zh-CN"/>
        </w:rPr>
        <w:t>，由投标人预留安装接口及空间</w:t>
      </w:r>
      <w:r>
        <w:rPr>
          <w:rFonts w:hint="eastAsia" w:ascii="Times New Roman" w:hAnsi="Times New Roman"/>
          <w:color w:val="auto"/>
          <w:highlight w:val="none"/>
          <w:lang w:eastAsia="zh-CN"/>
        </w:rPr>
        <w:t>）</w:t>
      </w:r>
      <w:r>
        <w:rPr>
          <w:rFonts w:ascii="Times New Roman" w:hAnsi="Times New Roman"/>
          <w:color w:val="auto"/>
          <w:highlight w:val="none"/>
          <w:lang w:eastAsia="zh-CN"/>
        </w:rPr>
        <w:t>；</w:t>
      </w:r>
    </w:p>
    <w:p w14:paraId="2A868EEE">
      <w:pPr>
        <w:numPr>
          <w:ilvl w:val="0"/>
          <w:numId w:val="3"/>
        </w:numPr>
        <w:spacing w:line="360" w:lineRule="auto"/>
        <w:ind w:left="0" w:firstLine="480"/>
        <w:rPr>
          <w:rFonts w:ascii="Times New Roman" w:hAnsi="Times New Roman"/>
          <w:color w:val="auto"/>
          <w:highlight w:val="none"/>
          <w:lang w:eastAsia="zh-CN"/>
        </w:rPr>
      </w:pPr>
      <w:r>
        <w:rPr>
          <w:rFonts w:ascii="Times New Roman" w:hAnsi="Times New Roman"/>
          <w:color w:val="auto"/>
          <w:highlight w:val="none"/>
          <w:lang w:eastAsia="zh-CN"/>
        </w:rPr>
        <w:t>阀门；</w:t>
      </w:r>
    </w:p>
    <w:p w14:paraId="07260E2A">
      <w:pPr>
        <w:numPr>
          <w:ilvl w:val="0"/>
          <w:numId w:val="3"/>
        </w:numPr>
        <w:spacing w:line="360" w:lineRule="auto"/>
        <w:ind w:left="0" w:firstLine="480"/>
        <w:rPr>
          <w:rFonts w:ascii="Times New Roman" w:hAnsi="Times New Roman"/>
          <w:color w:val="auto"/>
          <w:highlight w:val="none"/>
          <w:lang w:eastAsia="zh-CN"/>
        </w:rPr>
      </w:pPr>
      <w:r>
        <w:rPr>
          <w:rFonts w:ascii="Times New Roman" w:hAnsi="Times New Roman"/>
          <w:color w:val="auto"/>
          <w:highlight w:val="none"/>
          <w:lang w:eastAsia="zh-CN"/>
        </w:rPr>
        <w:t>过滤器；</w:t>
      </w:r>
    </w:p>
    <w:p w14:paraId="59FA2298">
      <w:pPr>
        <w:numPr>
          <w:ilvl w:val="0"/>
          <w:numId w:val="3"/>
        </w:numPr>
        <w:spacing w:line="360" w:lineRule="auto"/>
        <w:ind w:left="0" w:firstLine="480"/>
        <w:rPr>
          <w:rFonts w:ascii="Times New Roman" w:hAnsi="Times New Roman"/>
          <w:color w:val="auto"/>
          <w:highlight w:val="none"/>
          <w:lang w:eastAsia="zh-CN"/>
        </w:rPr>
      </w:pPr>
      <w:r>
        <w:rPr>
          <w:rFonts w:ascii="Times New Roman" w:hAnsi="Times New Roman"/>
          <w:color w:val="auto"/>
          <w:highlight w:val="none"/>
          <w:lang w:eastAsia="zh-CN"/>
        </w:rPr>
        <w:t>传感器；</w:t>
      </w:r>
    </w:p>
    <w:p w14:paraId="6C0E0A0B">
      <w:pPr>
        <w:numPr>
          <w:ilvl w:val="0"/>
          <w:numId w:val="3"/>
        </w:numPr>
        <w:spacing w:line="360" w:lineRule="auto"/>
        <w:ind w:left="0" w:firstLine="480"/>
        <w:rPr>
          <w:rFonts w:ascii="Times New Roman" w:hAnsi="Times New Roman"/>
          <w:color w:val="auto"/>
          <w:highlight w:val="none"/>
          <w:lang w:eastAsia="zh-CN"/>
        </w:rPr>
      </w:pPr>
      <w:r>
        <w:rPr>
          <w:rFonts w:ascii="Times New Roman" w:hAnsi="Times New Roman"/>
          <w:color w:val="auto"/>
          <w:highlight w:val="none"/>
          <w:lang w:eastAsia="zh-CN"/>
        </w:rPr>
        <w:t>控制柜与控制面板；</w:t>
      </w:r>
    </w:p>
    <w:p w14:paraId="71A42641">
      <w:pPr>
        <w:numPr>
          <w:ilvl w:val="0"/>
          <w:numId w:val="3"/>
        </w:numPr>
        <w:spacing w:line="360" w:lineRule="auto"/>
        <w:ind w:left="0" w:firstLine="480"/>
        <w:rPr>
          <w:rFonts w:ascii="Times New Roman" w:hAnsi="Times New Roman"/>
          <w:color w:val="auto"/>
          <w:highlight w:val="none"/>
          <w:lang w:eastAsia="zh-CN"/>
        </w:rPr>
      </w:pPr>
      <w:r>
        <w:rPr>
          <w:rFonts w:ascii="Times New Roman" w:hAnsi="Times New Roman"/>
          <w:color w:val="auto"/>
          <w:highlight w:val="none"/>
          <w:lang w:eastAsia="zh-CN"/>
        </w:rPr>
        <w:t>配套管道及橇块；</w:t>
      </w:r>
    </w:p>
    <w:p w14:paraId="6CCCC579">
      <w:pPr>
        <w:spacing w:line="360" w:lineRule="auto"/>
        <w:ind w:firstLine="480"/>
        <w:rPr>
          <w:rFonts w:ascii="Times New Roman" w:hAnsi="Times New Roman"/>
          <w:color w:val="auto"/>
          <w:highlight w:val="none"/>
          <w:lang w:eastAsia="zh-CN"/>
        </w:rPr>
      </w:pPr>
      <w:r>
        <w:rPr>
          <w:rFonts w:ascii="Times New Roman" w:hAnsi="Times New Roman"/>
          <w:color w:val="auto"/>
          <w:highlight w:val="none"/>
          <w:lang w:eastAsia="zh-CN"/>
        </w:rPr>
        <w:t>如表1所示为货物需求一览表</w:t>
      </w:r>
      <w:r>
        <w:rPr>
          <w:rFonts w:hint="eastAsia" w:ascii="Times New Roman" w:hAnsi="Times New Roman"/>
          <w:color w:val="auto"/>
          <w:highlight w:val="none"/>
          <w:lang w:eastAsia="zh-CN"/>
        </w:rPr>
        <w:t>，如图1所示为橇块整体</w:t>
      </w:r>
      <w:r>
        <w:rPr>
          <w:rFonts w:ascii="Times New Roman" w:hAnsi="Times New Roman"/>
          <w:color w:val="auto"/>
          <w:highlight w:val="none"/>
          <w:lang w:eastAsia="zh-CN"/>
        </w:rPr>
        <w:t>工艺流程（PFD）</w:t>
      </w:r>
      <w:r>
        <w:rPr>
          <w:rFonts w:hint="eastAsia" w:ascii="Times New Roman" w:hAnsi="Times New Roman"/>
          <w:color w:val="auto"/>
          <w:highlight w:val="none"/>
          <w:lang w:eastAsia="zh-CN"/>
        </w:rPr>
        <w:t>参考示意图，如图2所示为风机模型参考图</w:t>
      </w:r>
      <w:r>
        <w:rPr>
          <w:rFonts w:ascii="Times New Roman" w:hAnsi="Times New Roman"/>
          <w:color w:val="auto"/>
          <w:highlight w:val="none"/>
          <w:lang w:eastAsia="zh-CN"/>
        </w:rPr>
        <w:t>。</w:t>
      </w:r>
    </w:p>
    <w:p w14:paraId="3AE9F76E">
      <w:pPr>
        <w:widowControl w:val="0"/>
        <w:adjustRightInd w:val="0"/>
        <w:snapToGrid w:val="0"/>
        <w:spacing w:before="156" w:beforeLines="50" w:line="240" w:lineRule="auto"/>
        <w:ind w:firstLine="0" w:firstLineChars="0"/>
        <w:jc w:val="center"/>
        <w:rPr>
          <w:rFonts w:ascii="Times New Roman" w:hAnsi="Times New Roman"/>
          <w:color w:val="auto"/>
          <w:highlight w:val="none"/>
          <w:lang w:eastAsia="zh-CN"/>
        </w:rPr>
      </w:pPr>
      <w:bookmarkStart w:id="11" w:name="_Toc188721021"/>
      <w:r>
        <w:rPr>
          <w:rFonts w:ascii="Times New Roman" w:hAnsi="Times New Roman"/>
          <w:color w:val="auto"/>
          <w:kern w:val="2"/>
          <w:highlight w:val="none"/>
          <w:lang w:eastAsia="zh-CN"/>
          <w14:ligatures w14:val="standardContextual"/>
        </w:rPr>
        <w:t>表1 货物需求一览表</w:t>
      </w:r>
      <w:bookmarkEnd w:id="11"/>
    </w:p>
    <w:tbl>
      <w:tblPr>
        <w:tblStyle w:val="4"/>
        <w:tblW w:w="834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71"/>
        <w:gridCol w:w="2693"/>
        <w:gridCol w:w="1441"/>
        <w:gridCol w:w="2936"/>
      </w:tblGrid>
      <w:tr w14:paraId="437DE2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jc w:val="center"/>
        </w:trPr>
        <w:tc>
          <w:tcPr>
            <w:tcW w:w="1271" w:type="dxa"/>
            <w:vAlign w:val="center"/>
          </w:tcPr>
          <w:p w14:paraId="3CC60FAD">
            <w:pPr>
              <w:adjustRightInd w:val="0"/>
              <w:snapToGrid w:val="0"/>
              <w:spacing w:line="240" w:lineRule="auto"/>
              <w:ind w:firstLine="0" w:firstLineChars="0"/>
              <w:jc w:val="center"/>
              <w:rPr>
                <w:rFonts w:ascii="Times New Roman" w:hAnsi="Times New Roman"/>
                <w:color w:val="auto"/>
                <w:highlight w:val="none"/>
              </w:rPr>
            </w:pPr>
            <w:r>
              <w:rPr>
                <w:rFonts w:ascii="Times New Roman" w:hAnsi="Times New Roman"/>
                <w:color w:val="auto"/>
                <w:highlight w:val="none"/>
              </w:rPr>
              <w:t>序号</w:t>
            </w:r>
          </w:p>
        </w:tc>
        <w:tc>
          <w:tcPr>
            <w:tcW w:w="2693" w:type="dxa"/>
            <w:vAlign w:val="center"/>
          </w:tcPr>
          <w:p w14:paraId="15543C16">
            <w:pPr>
              <w:adjustRightInd w:val="0"/>
              <w:snapToGrid w:val="0"/>
              <w:spacing w:line="240" w:lineRule="auto"/>
              <w:ind w:firstLine="0" w:firstLineChars="0"/>
              <w:jc w:val="center"/>
              <w:rPr>
                <w:rFonts w:ascii="Times New Roman" w:hAnsi="Times New Roman"/>
                <w:color w:val="auto"/>
                <w:highlight w:val="none"/>
              </w:rPr>
            </w:pPr>
            <w:r>
              <w:rPr>
                <w:rFonts w:ascii="Times New Roman" w:hAnsi="Times New Roman"/>
                <w:color w:val="auto"/>
                <w:highlight w:val="none"/>
              </w:rPr>
              <w:t>货物名称</w:t>
            </w:r>
          </w:p>
        </w:tc>
        <w:tc>
          <w:tcPr>
            <w:tcW w:w="1441" w:type="dxa"/>
            <w:vAlign w:val="center"/>
          </w:tcPr>
          <w:p w14:paraId="5B91E278">
            <w:pPr>
              <w:adjustRightInd w:val="0"/>
              <w:snapToGrid w:val="0"/>
              <w:spacing w:line="240" w:lineRule="auto"/>
              <w:ind w:firstLine="0" w:firstLineChars="0"/>
              <w:jc w:val="center"/>
              <w:rPr>
                <w:rFonts w:ascii="Times New Roman" w:hAnsi="Times New Roman"/>
                <w:color w:val="auto"/>
                <w:highlight w:val="none"/>
              </w:rPr>
            </w:pPr>
            <w:r>
              <w:rPr>
                <w:rFonts w:ascii="Times New Roman" w:hAnsi="Times New Roman"/>
                <w:color w:val="auto"/>
                <w:highlight w:val="none"/>
              </w:rPr>
              <w:t>数量</w:t>
            </w:r>
          </w:p>
        </w:tc>
        <w:tc>
          <w:tcPr>
            <w:tcW w:w="2936" w:type="dxa"/>
            <w:vAlign w:val="center"/>
          </w:tcPr>
          <w:p w14:paraId="06AA0491">
            <w:pPr>
              <w:adjustRightInd w:val="0"/>
              <w:snapToGrid w:val="0"/>
              <w:spacing w:line="240" w:lineRule="auto"/>
              <w:ind w:firstLine="0" w:firstLineChars="0"/>
              <w:jc w:val="center"/>
              <w:rPr>
                <w:rFonts w:ascii="Times New Roman" w:hAnsi="Times New Roman"/>
                <w:color w:val="auto"/>
                <w:highlight w:val="none"/>
              </w:rPr>
            </w:pPr>
            <w:r>
              <w:rPr>
                <w:rFonts w:ascii="Times New Roman" w:hAnsi="Times New Roman"/>
                <w:color w:val="auto"/>
                <w:highlight w:val="none"/>
              </w:rPr>
              <w:t>交货期</w:t>
            </w:r>
          </w:p>
        </w:tc>
      </w:tr>
      <w:tr w14:paraId="527C45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1271" w:type="dxa"/>
            <w:vAlign w:val="center"/>
          </w:tcPr>
          <w:p w14:paraId="4F682331">
            <w:pPr>
              <w:adjustRightInd w:val="0"/>
              <w:snapToGrid w:val="0"/>
              <w:spacing w:line="240" w:lineRule="auto"/>
              <w:ind w:firstLine="0" w:firstLineChars="0"/>
              <w:jc w:val="center"/>
              <w:rPr>
                <w:rFonts w:ascii="Times New Roman" w:hAnsi="Times New Roman"/>
                <w:color w:val="auto"/>
                <w:highlight w:val="none"/>
              </w:rPr>
            </w:pPr>
            <w:r>
              <w:rPr>
                <w:rFonts w:ascii="Times New Roman" w:hAnsi="Times New Roman"/>
                <w:color w:val="auto"/>
                <w:highlight w:val="none"/>
              </w:rPr>
              <w:t>1</w:t>
            </w:r>
          </w:p>
        </w:tc>
        <w:tc>
          <w:tcPr>
            <w:tcW w:w="2693" w:type="dxa"/>
            <w:vAlign w:val="center"/>
          </w:tcPr>
          <w:p w14:paraId="691AF9F2">
            <w:pPr>
              <w:adjustRightInd w:val="0"/>
              <w:snapToGrid w:val="0"/>
              <w:spacing w:line="240" w:lineRule="auto"/>
              <w:ind w:firstLine="0" w:firstLineChars="0"/>
              <w:jc w:val="center"/>
              <w:rPr>
                <w:rFonts w:ascii="Times New Roman" w:hAnsi="Times New Roman"/>
                <w:color w:val="auto"/>
                <w:highlight w:val="none"/>
                <w:lang w:eastAsia="zh-CN"/>
              </w:rPr>
            </w:pPr>
            <w:r>
              <w:rPr>
                <w:rFonts w:ascii="Times New Roman" w:hAnsi="Times New Roman"/>
                <w:color w:val="auto"/>
                <w:highlight w:val="none"/>
                <w:lang w:eastAsia="zh-CN"/>
              </w:rPr>
              <w:t>循环风机橇</w:t>
            </w:r>
            <w:r>
              <w:rPr>
                <w:rFonts w:hint="eastAsia" w:ascii="Times New Roman" w:hAnsi="Times New Roman"/>
                <w:color w:val="auto"/>
                <w:highlight w:val="none"/>
                <w:lang w:eastAsia="zh-CN"/>
              </w:rPr>
              <w:t>块</w:t>
            </w:r>
          </w:p>
        </w:tc>
        <w:tc>
          <w:tcPr>
            <w:tcW w:w="1441" w:type="dxa"/>
            <w:vAlign w:val="center"/>
          </w:tcPr>
          <w:p w14:paraId="4AF3AF60">
            <w:pPr>
              <w:adjustRightInd w:val="0"/>
              <w:snapToGrid w:val="0"/>
              <w:spacing w:line="240" w:lineRule="auto"/>
              <w:ind w:firstLine="0" w:firstLineChars="0"/>
              <w:jc w:val="center"/>
              <w:rPr>
                <w:rFonts w:ascii="Times New Roman" w:hAnsi="Times New Roman"/>
                <w:color w:val="auto"/>
                <w:highlight w:val="none"/>
              </w:rPr>
            </w:pPr>
            <w:r>
              <w:rPr>
                <w:rFonts w:ascii="Times New Roman" w:hAnsi="Times New Roman"/>
                <w:color w:val="auto"/>
                <w:highlight w:val="none"/>
              </w:rPr>
              <w:t>1套</w:t>
            </w:r>
          </w:p>
        </w:tc>
        <w:tc>
          <w:tcPr>
            <w:tcW w:w="2936" w:type="dxa"/>
            <w:vAlign w:val="center"/>
          </w:tcPr>
          <w:p w14:paraId="019BD663">
            <w:pPr>
              <w:adjustRightInd w:val="0"/>
              <w:snapToGrid w:val="0"/>
              <w:spacing w:line="240" w:lineRule="auto"/>
              <w:ind w:firstLine="0" w:firstLineChars="0"/>
              <w:jc w:val="center"/>
              <w:rPr>
                <w:rFonts w:ascii="Times New Roman" w:hAnsi="Times New Roman"/>
                <w:color w:val="auto"/>
                <w:highlight w:val="none"/>
                <w:lang w:eastAsia="zh-CN"/>
              </w:rPr>
            </w:pPr>
            <w:r>
              <w:rPr>
                <w:rFonts w:ascii="Times New Roman" w:hAnsi="Times New Roman"/>
                <w:color w:val="auto"/>
                <w:highlight w:val="none"/>
                <w:lang w:eastAsia="zh-CN"/>
              </w:rPr>
              <w:t>合同签订后</w:t>
            </w:r>
            <w:r>
              <w:rPr>
                <w:rFonts w:hint="eastAsia" w:ascii="Times New Roman" w:hAnsi="Times New Roman"/>
                <w:color w:val="auto"/>
                <w:highlight w:val="none"/>
                <w:lang w:eastAsia="zh-CN"/>
              </w:rPr>
              <w:t>3</w:t>
            </w:r>
            <w:r>
              <w:rPr>
                <w:rFonts w:ascii="Times New Roman" w:hAnsi="Times New Roman"/>
                <w:color w:val="auto"/>
                <w:highlight w:val="none"/>
                <w:lang w:eastAsia="zh-CN"/>
              </w:rPr>
              <w:t>个月完成设计、制造、交付及验收</w:t>
            </w:r>
          </w:p>
        </w:tc>
      </w:tr>
    </w:tbl>
    <w:p w14:paraId="29C4426E">
      <w:pPr>
        <w:spacing w:line="240" w:lineRule="auto"/>
        <w:ind w:firstLine="0" w:firstLineChars="0"/>
        <w:rPr>
          <w:rFonts w:ascii="Times New Roman" w:hAnsi="Times New Roman"/>
          <w:color w:val="auto"/>
          <w:szCs w:val="21"/>
          <w:highlight w:val="none"/>
          <w:lang w:eastAsia="zh-CN"/>
        </w:rPr>
      </w:pPr>
      <w:r>
        <w:rPr>
          <w:rFonts w:ascii="Times New Roman" w:hAnsi="Times New Roman"/>
          <w:color w:val="auto"/>
          <w:szCs w:val="21"/>
          <w:highlight w:val="none"/>
          <w:lang w:eastAsia="zh-CN"/>
        </w:rPr>
        <w:t>注：</w:t>
      </w:r>
    </w:p>
    <w:p w14:paraId="1E1BE72E">
      <w:pPr>
        <w:pStyle w:val="6"/>
        <w:numPr>
          <w:ilvl w:val="0"/>
          <w:numId w:val="4"/>
        </w:numPr>
        <w:spacing w:line="240" w:lineRule="auto"/>
        <w:ind w:firstLineChars="0"/>
        <w:rPr>
          <w:color w:val="auto"/>
          <w:highlight w:val="none"/>
          <w:lang w:eastAsia="zh-CN"/>
        </w:rPr>
      </w:pPr>
      <w:r>
        <w:rPr>
          <w:color w:val="auto"/>
          <w:highlight w:val="none"/>
          <w:lang w:eastAsia="zh-CN"/>
        </w:rPr>
        <w:t>本项目为交钥匙工程，采购标的为循环风机橇</w:t>
      </w:r>
      <w:r>
        <w:rPr>
          <w:rFonts w:hint="eastAsia"/>
          <w:color w:val="auto"/>
          <w:highlight w:val="none"/>
          <w:lang w:eastAsia="zh-CN"/>
        </w:rPr>
        <w:t>块</w:t>
      </w:r>
      <w:r>
        <w:rPr>
          <w:color w:val="auto"/>
          <w:highlight w:val="none"/>
          <w:lang w:eastAsia="zh-CN"/>
        </w:rPr>
        <w:t>。投标人负责该橇块的设计、现场踏勘、生产制造、运输、集成安装、测试与测量、</w:t>
      </w:r>
      <w:r>
        <w:rPr>
          <w:rFonts w:hint="eastAsia"/>
          <w:color w:val="auto"/>
          <w:highlight w:val="none"/>
          <w:lang w:eastAsia="zh-CN"/>
        </w:rPr>
        <w:t>现场安装、</w:t>
      </w:r>
      <w:r>
        <w:rPr>
          <w:color w:val="auto"/>
          <w:highlight w:val="none"/>
          <w:lang w:eastAsia="zh-CN"/>
        </w:rPr>
        <w:t>调试运行及验收等全部工作。合同总价为固定包干价，已包含自合同签订之日起至质保期届满前所需的所有费用，包括但不限于人工费、设备材料费、运输费、机械费、安装费、调试与验收费、措施费、管理费、利润、税金、规费、安全文明施工费、环境保护费等全部投入，以及因工期延误及其他明示或不可预见的所有风险与费用。</w:t>
      </w:r>
    </w:p>
    <w:p w14:paraId="47C48BEB">
      <w:pPr>
        <w:pStyle w:val="6"/>
        <w:numPr>
          <w:ilvl w:val="0"/>
          <w:numId w:val="4"/>
        </w:numPr>
        <w:spacing w:line="240" w:lineRule="auto"/>
        <w:ind w:firstLineChars="0"/>
        <w:rPr>
          <w:rFonts w:ascii="Times New Roman" w:hAnsi="Times New Roman"/>
          <w:color w:val="auto"/>
          <w:szCs w:val="21"/>
          <w:highlight w:val="none"/>
          <w:lang w:eastAsia="zh-CN"/>
        </w:rPr>
      </w:pPr>
      <w:r>
        <w:rPr>
          <w:color w:val="auto"/>
          <w:highlight w:val="none"/>
          <w:lang w:eastAsia="zh-CN"/>
        </w:rPr>
        <w:t>双方约定本套设备标准交付周期合同签订后</w:t>
      </w:r>
      <w:r>
        <w:rPr>
          <w:rFonts w:hint="eastAsia"/>
          <w:color w:val="auto"/>
          <w:highlight w:val="none"/>
          <w:lang w:eastAsia="zh-CN"/>
        </w:rPr>
        <w:t>3</w:t>
      </w:r>
      <w:r>
        <w:rPr>
          <w:color w:val="auto"/>
          <w:highlight w:val="none"/>
          <w:lang w:eastAsia="zh-CN"/>
        </w:rPr>
        <w:t>个月，该交付期限成立的前提是甲方负责供应的甲供设备按双方确认的时间表如期送达乙方指定场地并验收完好；若甲供设备出现到货滞后等情形，乙方整体交货期限将按照甲供</w:t>
      </w:r>
      <w:r>
        <w:rPr>
          <w:rFonts w:hint="eastAsia"/>
          <w:color w:val="auto"/>
          <w:highlight w:val="none"/>
          <w:lang w:eastAsia="zh-CN"/>
        </w:rPr>
        <w:t>设备</w:t>
      </w:r>
      <w:r>
        <w:rPr>
          <w:color w:val="auto"/>
          <w:highlight w:val="none"/>
          <w:lang w:eastAsia="zh-CN"/>
        </w:rPr>
        <w:t>实际延误天数同等顺延，由此产生的交付延后不视为乙方违约，但乙方应积极推进不受甲供影响的前置工序，不得因自身排产、生产组织不当扩大工期延误。</w:t>
      </w:r>
    </w:p>
    <w:p w14:paraId="1E4EB369">
      <w:pPr>
        <w:widowControl w:val="0"/>
        <w:spacing w:line="240" w:lineRule="auto"/>
        <w:ind w:firstLine="0" w:firstLineChars="0"/>
        <w:jc w:val="center"/>
        <w:rPr>
          <w:color w:val="auto"/>
          <w:highlight w:val="none"/>
          <w:lang w:eastAsia="zh-CN"/>
        </w:rPr>
      </w:pPr>
      <w:r>
        <w:rPr>
          <w:color w:val="auto"/>
          <w:highlight w:val="none"/>
        </w:rPr>
        <w:drawing>
          <wp:inline distT="0" distB="0" distL="0" distR="0">
            <wp:extent cx="5285740" cy="3187700"/>
            <wp:effectExtent l="0" t="0" r="635" b="3175"/>
            <wp:docPr id="1658218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82180" name="图片 1"/>
                    <pic:cNvPicPr>
                      <a:picLocks noChangeAspect="1"/>
                    </pic:cNvPicPr>
                  </pic:nvPicPr>
                  <pic:blipFill>
                    <a:blip r:embed="rId6" cstate="print">
                      <a:extLst>
                        <a:ext uri="{28A0092B-C50C-407E-A947-70E740481C1C}">
                          <a14:useLocalDpi xmlns:a14="http://schemas.microsoft.com/office/drawing/2010/main" val="0"/>
                        </a:ext>
                      </a:extLst>
                    </a:blip>
                    <a:stretch>
                      <a:fillRect/>
                    </a:stretch>
                  </pic:blipFill>
                  <pic:spPr>
                    <a:xfrm>
                      <a:off x="0" y="0"/>
                      <a:ext cx="5286003" cy="3188057"/>
                    </a:xfrm>
                    <a:prstGeom prst="rect">
                      <a:avLst/>
                    </a:prstGeom>
                  </pic:spPr>
                </pic:pic>
              </a:graphicData>
            </a:graphic>
          </wp:inline>
        </w:drawing>
      </w:r>
    </w:p>
    <w:p w14:paraId="5BF83788">
      <w:pPr>
        <w:widowControl w:val="0"/>
        <w:spacing w:line="240" w:lineRule="auto"/>
        <w:ind w:firstLine="0" w:firstLineChars="0"/>
        <w:jc w:val="center"/>
        <w:rPr>
          <w:rFonts w:ascii="Times New Roman" w:hAnsi="Times New Roman"/>
          <w:color w:val="auto"/>
          <w:highlight w:val="none"/>
          <w:lang w:eastAsia="zh-CN"/>
        </w:rPr>
      </w:pPr>
      <w:r>
        <w:rPr>
          <w:rFonts w:hint="eastAsia" w:ascii="Times New Roman" w:hAnsi="Times New Roman"/>
          <w:color w:val="auto"/>
          <w:highlight w:val="none"/>
          <w:lang w:eastAsia="zh-CN"/>
        </w:rPr>
        <w:t>图</w:t>
      </w:r>
      <w:r>
        <w:rPr>
          <w:rFonts w:ascii="Times New Roman" w:hAnsi="Times New Roman"/>
          <w:color w:val="auto"/>
          <w:highlight w:val="none"/>
          <w:lang w:eastAsia="zh-CN"/>
        </w:rPr>
        <w:t>1</w:t>
      </w:r>
      <w:r>
        <w:rPr>
          <w:rFonts w:hint="eastAsia" w:ascii="Times New Roman" w:hAnsi="Times New Roman"/>
          <w:color w:val="auto"/>
          <w:highlight w:val="none"/>
          <w:lang w:eastAsia="zh-CN"/>
        </w:rPr>
        <w:t xml:space="preserve"> 橇块整体</w:t>
      </w:r>
      <w:r>
        <w:rPr>
          <w:rFonts w:ascii="Times New Roman" w:hAnsi="Times New Roman"/>
          <w:color w:val="auto"/>
          <w:highlight w:val="none"/>
          <w:lang w:eastAsia="zh-CN"/>
        </w:rPr>
        <w:t>工艺流程（PFD）</w:t>
      </w:r>
      <w:r>
        <w:rPr>
          <w:rFonts w:hint="eastAsia" w:ascii="Times New Roman" w:hAnsi="Times New Roman"/>
          <w:color w:val="auto"/>
          <w:highlight w:val="none"/>
          <w:lang w:eastAsia="zh-CN"/>
        </w:rPr>
        <w:t>参考示意图</w:t>
      </w:r>
    </w:p>
    <w:p w14:paraId="4598D57E">
      <w:pPr>
        <w:widowControl w:val="0"/>
        <w:spacing w:line="240" w:lineRule="auto"/>
        <w:ind w:firstLine="0" w:firstLineChars="0"/>
        <w:jc w:val="center"/>
        <w:rPr>
          <w:color w:val="auto"/>
          <w:highlight w:val="none"/>
          <w:lang w:eastAsia="zh-CN"/>
        </w:rPr>
      </w:pPr>
      <w:r>
        <w:rPr>
          <w:color w:val="auto"/>
          <w:highlight w:val="none"/>
        </w:rPr>
        <mc:AlternateContent>
          <mc:Choice Requires="wps">
            <w:drawing>
              <wp:anchor distT="0" distB="0" distL="114300" distR="114300" simplePos="0" relativeHeight="251662336" behindDoc="0" locked="0" layoutInCell="1" allowOverlap="1">
                <wp:simplePos x="0" y="0"/>
                <wp:positionH relativeFrom="column">
                  <wp:posOffset>763905</wp:posOffset>
                </wp:positionH>
                <wp:positionV relativeFrom="paragraph">
                  <wp:posOffset>1727835</wp:posOffset>
                </wp:positionV>
                <wp:extent cx="1158875" cy="512445"/>
                <wp:effectExtent l="282575" t="55245" r="290830" b="62230"/>
                <wp:wrapNone/>
                <wp:docPr id="154772958" name="矩形 3"/>
                <wp:cNvGraphicFramePr/>
                <a:graphic xmlns:a="http://schemas.openxmlformats.org/drawingml/2006/main">
                  <a:graphicData uri="http://schemas.microsoft.com/office/word/2010/wordprocessingShape">
                    <wps:wsp>
                      <wps:cNvSpPr/>
                      <wps:spPr>
                        <a:xfrm rot="3425433">
                          <a:off x="0" y="0"/>
                          <a:ext cx="1158736" cy="512302"/>
                        </a:xfrm>
                        <a:prstGeom prst="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1E7F93C3">
                            <w:pPr>
                              <w:spacing w:line="240" w:lineRule="auto"/>
                              <w:ind w:firstLine="0" w:firstLineChars="0"/>
                              <w:rPr>
                                <w:rFonts w:hint="eastAsia" w:asciiTheme="minorEastAsia" w:hAnsiTheme="minorEastAsia" w:eastAsiaTheme="minorEastAsia"/>
                                <w:color w:val="FFFFFF" w:themeColor="background1"/>
                                <w:sz w:val="28"/>
                                <w:szCs w:val="28"/>
                                <w:lang w:eastAsia="zh-CN"/>
                                <w14:textFill>
                                  <w14:solidFill>
                                    <w14:schemeClr w14:val="bg1"/>
                                  </w14:solidFill>
                                </w14:textFill>
                              </w:rPr>
                            </w:pPr>
                            <w:r>
                              <w:rPr>
                                <w:rFonts w:hint="eastAsia" w:asciiTheme="minorEastAsia" w:hAnsiTheme="minorEastAsia" w:eastAsiaTheme="minorEastAsia"/>
                                <w:color w:val="FFFFFF" w:themeColor="background1"/>
                                <w:sz w:val="28"/>
                                <w:szCs w:val="28"/>
                                <w:lang w:eastAsia="zh-CN"/>
                                <w14:textFill>
                                  <w14:solidFill>
                                    <w14:schemeClr w14:val="bg1"/>
                                  </w14:solidFill>
                                </w14:textFill>
                              </w:rPr>
                              <w:t>直径约0.5m</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矩形 3" o:spid="_x0000_s1026" o:spt="1" style="position:absolute;left:0pt;margin-left:60.15pt;margin-top:136.05pt;height:40.35pt;width:91.25pt;rotation:3741486f;z-index:251662336;v-text-anchor:middle;mso-width-relative:page;mso-height-relative:page;" fillcolor="#4874CB [3204]" filled="t" stroked="t" coordsize="21600,21600" o:gfxdata="UEsDBAoAAAAAAIdO4kAAAAAAAAAAAAAAAAAEAAAAZHJzL1BLAwQUAAAACACHTuJAeA47xNcAAAAL&#10;AQAADwAAAGRycy9kb3ducmV2LnhtbE2PzW7CMBCE75X6DtZW4lbsGPVHIQ6qonJA6qGFqmcTL0lE&#10;vI5iB+jbd3uC24z20+xMsbr4XpxwjF0gA9lcgUCqg+uoMfC9Wz++gojJkrN9IDTwixFW5f1dYXMX&#10;zvSFp21qBIdQzK2BNqUhlzLWLXob52FA4tshjN4mtmMj3WjPHO57qZV6lt52xB9aO2DVYn3cTt5A&#10;nPzm0781mO30ezzST/WxrjpjZg+ZWoJIeElXGP7rc3UoudM+TOSi6NlrtWDUgH7RGQgmFkrzmD2L&#10;JxayLOTthvIPUEsDBBQAAAAIAIdO4kAe9E0imwIAADYFAAAOAAAAZHJzL2Uyb0RvYy54bWytVM1u&#10;EzEQviPxDpbvdH+y26RRNlVIVIRU0UgFcXa83qwl/2E72ZSXQeLGQ/A4iNdg7N2mSeHQAxdrxjP+&#10;ZuabGc+uD1KgPbOOa1Xh7CLFiCmqa662Ff708ebNBCPniaqJ0IpV+IE5fD1//WrWmSnLdatFzSwC&#10;EOWmnalw672ZJomjLZPEXWjDFBgbbSXxoNptUlvSAboUSZ6ml0mnbW2spsw5uF31Rjwg2pcA6qbh&#10;lK003UmmfI9qmSAeSnItNw7PY7ZNw6i/axrHPBIVhkp9PCEIyJtwJvMZmW4tMS2nQwrkJSk8q0kS&#10;riDoEWpFPEE7y/+Ckpxa7XTjL6iWSV9IZASqyNJn3Ny3xLBYC1DtzJF09/9g6Yf92iJewySUxXic&#10;X5XQfkUkNP73tx+/fn5Ho8BRZ9wUXO/N2g6aAzEUfGisRFYDsaMiL4vRKNIAhaFDZPnhyDI7eETh&#10;MsvKyXh0iREFW5nlozQPIZIeK2Aa6/w7piUKQoUtdDGikv2t873ro0twd1rw+oYLERW73SyFRXsC&#10;HS8m42L5dkA/cxMKdZBKPk5hEiiBOW5gfkCUBrhwaosREVtYEOptjH322p0Gya7yVVn0Ti2pWR86&#10;K1OA7pMd3GONZzihihVxbf8kmsITMpXcw5IJLis8AZwjklAAEprR0x8kf9gc4E0QN7p+gG7GbkBZ&#10;ztAbDhFuifNrYmGu4RI239/B0QgNBOhBwqjV9uu/7oM/jBtYMepgT4CcLztiGUbivYJBvMqKAmB9&#10;VIpynINiTy2bU4vayaWGxmQxuygGfy8excZq+Rk+iEWICiaiKMTu2zAoS9/vL3wxlC0W0Q2WyRB/&#10;q+4NDeCBQqUXO68bHgfmiZ2BP1in2I5h9cO+nurR6+m7m/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CwUAAFtDb250ZW50X1R5cGVzXS54bWxQ&#10;SwECFAAKAAAAAACHTuJAAAAAAAAAAAAAAAAABgAAAAAAAAAAABAAAADtAwAAX3JlbHMvUEsBAhQA&#10;FAAAAAgAh07iQIoUZjzRAAAAlAEAAAsAAAAAAAAAAQAgAAAAEQQAAF9yZWxzLy5yZWxzUEsBAhQA&#10;CgAAAAAAh07iQAAAAAAAAAAAAAAAAAQAAAAAAAAAAAAQAAAAAAAAAGRycy9QSwECFAAUAAAACACH&#10;TuJAeA47xNcAAAALAQAADwAAAAAAAAABACAAAAAiAAAAZHJzL2Rvd25yZXYueG1sUEsBAhQAFAAA&#10;AAgAh07iQB70TSKbAgAANgUAAA4AAAAAAAAAAQAgAAAAJgEAAGRycy9lMm9Eb2MueG1sUEsFBgAA&#10;AAAGAAYAWQEAADMGAAAAAA==&#10;">
                <v:fill on="t" focussize="0,0"/>
                <v:stroke weight="1pt" color="#192D54 [3204]" miterlimit="8" joinstyle="miter"/>
                <v:imagedata o:title=""/>
                <o:lock v:ext="edit" aspectratio="f"/>
                <v:textbox>
                  <w:txbxContent>
                    <w:p w14:paraId="1E7F93C3">
                      <w:pPr>
                        <w:spacing w:line="240" w:lineRule="auto"/>
                        <w:ind w:firstLine="0" w:firstLineChars="0"/>
                        <w:rPr>
                          <w:rFonts w:hint="eastAsia" w:asciiTheme="minorEastAsia" w:hAnsiTheme="minorEastAsia" w:eastAsiaTheme="minorEastAsia"/>
                          <w:color w:val="FFFFFF" w:themeColor="background1"/>
                          <w:sz w:val="28"/>
                          <w:szCs w:val="28"/>
                          <w:lang w:eastAsia="zh-CN"/>
                          <w14:textFill>
                            <w14:solidFill>
                              <w14:schemeClr w14:val="bg1"/>
                            </w14:solidFill>
                          </w14:textFill>
                        </w:rPr>
                      </w:pPr>
                      <w:r>
                        <w:rPr>
                          <w:rFonts w:hint="eastAsia" w:asciiTheme="minorEastAsia" w:hAnsiTheme="minorEastAsia" w:eastAsiaTheme="minorEastAsia"/>
                          <w:color w:val="FFFFFF" w:themeColor="background1"/>
                          <w:sz w:val="28"/>
                          <w:szCs w:val="28"/>
                          <w:lang w:eastAsia="zh-CN"/>
                          <w14:textFill>
                            <w14:solidFill>
                              <w14:schemeClr w14:val="bg1"/>
                            </w14:solidFill>
                          </w14:textFill>
                        </w:rPr>
                        <w:t>直径约0.5m</w:t>
                      </w:r>
                    </w:p>
                  </w:txbxContent>
                </v:textbox>
              </v:rect>
            </w:pict>
          </mc:Fallback>
        </mc:AlternateContent>
      </w:r>
      <w:r>
        <w:rPr>
          <w:color w:val="auto"/>
          <w:highlight w:val="none"/>
        </w:rPr>
        <mc:AlternateContent>
          <mc:Choice Requires="wps">
            <w:drawing>
              <wp:anchor distT="0" distB="0" distL="114300" distR="114300" simplePos="0" relativeHeight="251661312" behindDoc="0" locked="0" layoutInCell="1" allowOverlap="1">
                <wp:simplePos x="0" y="0"/>
                <wp:positionH relativeFrom="column">
                  <wp:posOffset>2686685</wp:posOffset>
                </wp:positionH>
                <wp:positionV relativeFrom="paragraph">
                  <wp:posOffset>1958340</wp:posOffset>
                </wp:positionV>
                <wp:extent cx="1036320" cy="512445"/>
                <wp:effectExtent l="67945" t="197485" r="76835" b="204470"/>
                <wp:wrapNone/>
                <wp:docPr id="1683266006" name="矩形 3"/>
                <wp:cNvGraphicFramePr/>
                <a:graphic xmlns:a="http://schemas.openxmlformats.org/drawingml/2006/main">
                  <a:graphicData uri="http://schemas.microsoft.com/office/word/2010/wordprocessingShape">
                    <wps:wsp>
                      <wps:cNvSpPr/>
                      <wps:spPr>
                        <a:xfrm rot="20155997">
                          <a:off x="0" y="0"/>
                          <a:ext cx="1036518" cy="512302"/>
                        </a:xfrm>
                        <a:prstGeom prst="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252D55A7">
                            <w:pPr>
                              <w:spacing w:line="240" w:lineRule="auto"/>
                              <w:ind w:firstLine="0" w:firstLineChars="0"/>
                              <w:rPr>
                                <w:rFonts w:hint="eastAsia" w:asciiTheme="minorEastAsia" w:hAnsiTheme="minorEastAsia" w:eastAsiaTheme="minorEastAsia"/>
                                <w:color w:val="FFFFFF" w:themeColor="background1"/>
                                <w:sz w:val="28"/>
                                <w:szCs w:val="28"/>
                                <w:lang w:eastAsia="zh-CN"/>
                                <w14:textFill>
                                  <w14:solidFill>
                                    <w14:schemeClr w14:val="bg1"/>
                                  </w14:solidFill>
                                </w14:textFill>
                              </w:rPr>
                            </w:pPr>
                            <w:r>
                              <w:rPr>
                                <w:rFonts w:hint="eastAsia" w:asciiTheme="minorEastAsia" w:hAnsiTheme="minorEastAsia" w:eastAsiaTheme="minorEastAsia"/>
                                <w:color w:val="FFFFFF" w:themeColor="background1"/>
                                <w:sz w:val="28"/>
                                <w:szCs w:val="28"/>
                                <w:lang w:eastAsia="zh-CN"/>
                                <w14:textFill>
                                  <w14:solidFill>
                                    <w14:schemeClr w14:val="bg1"/>
                                  </w14:solidFill>
                                </w14:textFill>
                              </w:rPr>
                              <w:t>长度约1m</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矩形 3" o:spid="_x0000_s1026" o:spt="1" style="position:absolute;left:0pt;margin-left:211.55pt;margin-top:154.2pt;height:40.35pt;width:81.6pt;rotation:-1577236f;z-index:251661312;v-text-anchor:middle;mso-width-relative:page;mso-height-relative:page;" fillcolor="#4874CB [3204]" filled="t" stroked="t" coordsize="21600,21600" o:gfxdata="UEsDBAoAAAAAAIdO4kAAAAAAAAAAAAAAAAAEAAAAZHJzL1BLAwQUAAAACACHTuJAqzEpq9oAAAAL&#10;AQAADwAAAGRycy9kb3ducmV2LnhtbE2PsU7DMBCGdyTewTokFkTtNCUKIU4HECxISG1hYHNjN46I&#10;z5bttOXtOSYY7+7Xd9/frs9uYkcT0+hRQrEQwAz2Xo84SHjfPd/WwFJWqNXk0Uj4NgnW3eVFqxrt&#10;T7gxx20eGEEwNUqCzTk0nKfeGqfSwgeDdDv46FSmMQ5cR3UiuJv4UoiKOzUifbAqmEdr+q/t7CSU&#10;/ZP+DP7jpgqzfXs5jK+72UUpr68K8QAsm3P+C8OvPqlDR057P6NObJKwWpYFRQkm6hUwStzVVQls&#10;T5v6vgDetfx/h+4HUEsDBBQAAAAIAIdO4kCSM94LmwIAADgFAAAOAAAAZHJzL2Uyb0RvYy54bWyt&#10;VM1uEzEQviPxDpbvNLubnyZRkyokKkKqaKWCODteb3Yl/2E7P+VlkLjxEDwO4jX47N2maeHQAxdr&#10;xjP+ZuabGV9cHpQkO+F8Y/SM5mcZJUJzUzZ6M6OfPl69GVPiA9Mlk0aLGb0Xnl7OX7+62NupKExt&#10;ZCkcAYj2072d0ToEO+31PK+FYv7MWKFhrIxTLEB1m17p2B7oSvaKLBv19saV1hkuvMftqjXSDtG9&#10;BNBUVcPFyvCtEjq0qE5IFlCSrxvr6TxlW1WCh5uq8iIQOaOoNKQTQSCv49mbX7DpxjFbN7xLgb0k&#10;hWc1KdZoBD1CrVhgZOuav6BUw53xpgpn3KheW0hiBFXk2TNu7mpmRaoFVHt7JN3/P1j+YXfrSFNi&#10;EkbjfjEaoUOUaKbQ+d/ffvz6+Z30I0l766fwvbO3rtM8xFjxoXKKOANmUcFwOJmcJyJQGjkknu+P&#10;PItDIByXedYfDXPMGYdtmBf9rIgxei1YBLXOh3fCKBKFGXXoY0Jlu2sfWtcHl+jujWzKq0bKpLjN&#10;eikd2TH0fDA+HyzfduhP3KQme6RSnGeYBc4wyRUmCKKyYMPrDSVMbrAiPLgU+8lrfxoknxSr4aB1&#10;qlkp2tD5MAN0m2znnmp8ghOrWDFft0+SKT5hU9UErJls1IyOgXNEkhogsRst/1EKh/UBb6K4NuU9&#10;+pnagbK85VcNIlwzH26Zw2TjErsfbnBU0oAA00mU1MZ9/dd99MfAwUrJHpsCcr5smROUyPcaozjJ&#10;BwPAhqQMhucFFHdqWZ9a9FYtDRqTp+ySGP2DfBArZ9RnfBGLGBUmpjlit23olGVoNxifDBeLRXLD&#10;OlkWrvWd5RE8UqjNYhtM1aSBeWSn4w8LldrRLX/c2FM9eT1+ePM/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DgUAAFtDb250ZW50X1R5cGVzXS54&#10;bWxQSwECFAAKAAAAAACHTuJAAAAAAAAAAAAAAAAABgAAAAAAAAAAABAAAADwAwAAX3JlbHMvUEsB&#10;AhQAFAAAAAgAh07iQIoUZjzRAAAAlAEAAAsAAAAAAAAAAQAgAAAAFAQAAF9yZWxzLy5yZWxzUEsB&#10;AhQACgAAAAAAh07iQAAAAAAAAAAAAAAAAAQAAAAAAAAAAAAQAAAAAAAAAGRycy9QSwECFAAUAAAA&#10;CACHTuJAqzEpq9oAAAALAQAADwAAAAAAAAABACAAAAAiAAAAZHJzL2Rvd25yZXYueG1sUEsBAhQA&#10;FAAAAAgAh07iQJIz3gubAgAAOAUAAA4AAAAAAAAAAQAgAAAAKQEAAGRycy9lMm9Eb2MueG1sUEsF&#10;BgAAAAAGAAYAWQEAADYGAAAAAA==&#10;">
                <v:fill on="t" focussize="0,0"/>
                <v:stroke weight="1pt" color="#192D54 [3204]" miterlimit="8" joinstyle="miter"/>
                <v:imagedata o:title=""/>
                <o:lock v:ext="edit" aspectratio="f"/>
                <v:textbox>
                  <w:txbxContent>
                    <w:p w14:paraId="252D55A7">
                      <w:pPr>
                        <w:spacing w:line="240" w:lineRule="auto"/>
                        <w:ind w:firstLine="0" w:firstLineChars="0"/>
                        <w:rPr>
                          <w:rFonts w:hint="eastAsia" w:asciiTheme="minorEastAsia" w:hAnsiTheme="minorEastAsia" w:eastAsiaTheme="minorEastAsia"/>
                          <w:color w:val="FFFFFF" w:themeColor="background1"/>
                          <w:sz w:val="28"/>
                          <w:szCs w:val="28"/>
                          <w:lang w:eastAsia="zh-CN"/>
                          <w14:textFill>
                            <w14:solidFill>
                              <w14:schemeClr w14:val="bg1"/>
                            </w14:solidFill>
                          </w14:textFill>
                        </w:rPr>
                      </w:pPr>
                      <w:r>
                        <w:rPr>
                          <w:rFonts w:hint="eastAsia" w:asciiTheme="minorEastAsia" w:hAnsiTheme="minorEastAsia" w:eastAsiaTheme="minorEastAsia"/>
                          <w:color w:val="FFFFFF" w:themeColor="background1"/>
                          <w:sz w:val="28"/>
                          <w:szCs w:val="28"/>
                          <w:lang w:eastAsia="zh-CN"/>
                          <w14:textFill>
                            <w14:solidFill>
                              <w14:schemeClr w14:val="bg1"/>
                            </w14:solidFill>
                          </w14:textFill>
                        </w:rPr>
                        <w:t>长度约1m</w:t>
                      </w:r>
                    </w:p>
                  </w:txbxContent>
                </v:textbox>
              </v:rect>
            </w:pict>
          </mc:Fallback>
        </mc:AlternateContent>
      </w:r>
      <w:r>
        <w:rPr>
          <w:color w:val="auto"/>
          <w:highlight w:val="none"/>
        </w:rPr>
        <mc:AlternateContent>
          <mc:Choice Requires="wps">
            <w:drawing>
              <wp:anchor distT="0" distB="0" distL="114300" distR="114300" simplePos="0" relativeHeight="251659264" behindDoc="0" locked="0" layoutInCell="1" allowOverlap="1">
                <wp:simplePos x="0" y="0"/>
                <wp:positionH relativeFrom="column">
                  <wp:posOffset>2025650</wp:posOffset>
                </wp:positionH>
                <wp:positionV relativeFrom="paragraph">
                  <wp:posOffset>1529080</wp:posOffset>
                </wp:positionV>
                <wp:extent cx="1899920" cy="798830"/>
                <wp:effectExtent l="0" t="12700" r="5080" b="17145"/>
                <wp:wrapNone/>
                <wp:docPr id="927541933" name="直接箭头连接符 1"/>
                <wp:cNvGraphicFramePr/>
                <a:graphic xmlns:a="http://schemas.openxmlformats.org/drawingml/2006/main">
                  <a:graphicData uri="http://schemas.microsoft.com/office/word/2010/wordprocessingShape">
                    <wps:wsp>
                      <wps:cNvCnPr/>
                      <wps:spPr>
                        <a:xfrm flipV="1">
                          <a:off x="0" y="0"/>
                          <a:ext cx="1899812" cy="798859"/>
                        </a:xfrm>
                        <a:prstGeom prst="straightConnector1">
                          <a:avLst/>
                        </a:prstGeom>
                        <a:ln w="57150">
                          <a:solidFill>
                            <a:srgbClr val="C00000"/>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直接箭头连接符 1" o:spid="_x0000_s1026" o:spt="32" type="#_x0000_t32" style="position:absolute;left:0pt;flip:y;margin-left:159.5pt;margin-top:120.4pt;height:62.9pt;width:149.6pt;z-index:251659264;mso-width-relative:page;mso-height-relative:page;" filled="f" stroked="t" coordsize="21600,21600" o:gfxdata="UEsDBAoAAAAAAIdO4kAAAAAAAAAAAAAAAAAEAAAAZHJzL1BLAwQUAAAACACHTuJAtlqxTtoAAAAL&#10;AQAADwAAAGRycy9kb3ducmV2LnhtbE2PQUsDMRCF74L/IYzgzSbZSqjbzRYstKAgYu2hx3QTdxc3&#10;k7jJtvXfO570OLzHm++rVhc/sJMbUx9Qg5wJYA6bYHtsNezfN3cLYCkbtGYI6DR8uwSr+vqqMqUN&#10;Z3xzp11uGY1gKo2GLudYcp6aznmTZiE6pOwjjN5kOseW29GcadwPvBBCcW96pA+diW7dueZzN3kN&#10;zzm+ruXTfj7Frd++bB7bwxfx6NsbKZbAsrvkvzL84hM61MR0DBPaxAYNc/lALllDcS/IgRpKLgpg&#10;R4qUUsDriv93qH8AUEsDBBQAAAAIAIdO4kBKqRQxIwIAABUEAAAOAAAAZHJzL2Uyb0RvYy54bWyt&#10;U8uO0zAU3SPxD5b3NE2H0iRqOouWYYOgEo/9reMklvyS7enjJ/gBJFbAamA1e74Ghs/g2ikFBhaz&#10;IIvo2tfn+J5zr+fneyXJljsvjK5pPhpTwjUzjdBdTV+9vHhQUOID6Aak0bymB+7p+eL+vfnOVnxi&#10;eiMb7giSaF/tbE37EGyVZZ71XIEfGcs1JlvjFARcui5rHOyQXclsMh4/ynbGNdYZxr3H3dWQpEdG&#10;dxdC07aC8ZVhl4rrMLA6LiGgJN8L6+kiVdu2nIXnbet5ILKmqDSkP16C8Sb+s8Ucqs6B7QU7lgB3&#10;KeGWJgVC46UnqhUEIJdO/EWlBHPGmzaMmFHZICQ5giry8S1vXvRgedKCVnt7Mt3/P1r2bLt2RDQ1&#10;LSez6cO8PDujRIPCxt+8vf725sPN509f319///IuxlcfSR4t21lfIXKp1+648nbtov596xRppbCv&#10;cbaSI6iR7JPhh5PhfB8Iw828KMsin1DCMDcri2JaRvps4Il81vnwhBtFYlBTHxyIrg9LozX21rjh&#10;Dtg+9WEA/gREsDYXQkrch0pqsqvpdJZPsfMMcG5bnBcMlUXtXneUgOzwQbDgUtneSNFEeER7122W&#10;0pEt4Bgtx/E71vnHsXj3Cnw/nEupeAwqJQK+GSlUTYsTGqqeQ/NYNyQcLPodnADdST5AAgj57xy6&#10;IzWaFJsw2B6jjWkOqRtpH6cl2Xic7DiOv68T+tdrXvwA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tlqxTtoAAAALAQAADwAAAAAAAAABACAAAAAiAAAAZHJzL2Rvd25yZXYueG1sUEsBAhQAFAAAAAgA&#10;h07iQEqpFDEjAgAAFQQAAA4AAAAAAAAAAQAgAAAAKQEAAGRycy9lMm9Eb2MueG1sUEsFBgAAAAAG&#10;AAYAWQEAAL4FAAAAAA==&#10;">
                <v:fill on="f" focussize="0,0"/>
                <v:stroke weight="4.5pt" color="#C00000 [3204]" miterlimit="8" joinstyle="miter" startarrow="block" endarrow="block"/>
                <v:imagedata o:title=""/>
                <o:lock v:ext="edit" aspectratio="f"/>
              </v:shape>
            </w:pict>
          </mc:Fallback>
        </mc:AlternateContent>
      </w:r>
      <w:r>
        <w:rPr>
          <w:color w:val="auto"/>
          <w:highlight w:val="none"/>
        </w:rPr>
        <mc:AlternateContent>
          <mc:Choice Requires="wps">
            <w:drawing>
              <wp:anchor distT="0" distB="0" distL="114300" distR="114300" simplePos="0" relativeHeight="251660288" behindDoc="0" locked="0" layoutInCell="1" allowOverlap="1">
                <wp:simplePos x="0" y="0"/>
                <wp:positionH relativeFrom="column">
                  <wp:posOffset>1360805</wp:posOffset>
                </wp:positionH>
                <wp:positionV relativeFrom="paragraph">
                  <wp:posOffset>1266825</wp:posOffset>
                </wp:positionV>
                <wp:extent cx="608330" cy="1043305"/>
                <wp:effectExtent l="0" t="0" r="1270" b="4445"/>
                <wp:wrapNone/>
                <wp:docPr id="1737859665" name="直接箭头连接符 2"/>
                <wp:cNvGraphicFramePr/>
                <a:graphic xmlns:a="http://schemas.openxmlformats.org/drawingml/2006/main">
                  <a:graphicData uri="http://schemas.microsoft.com/office/word/2010/wordprocessingShape">
                    <wps:wsp>
                      <wps:cNvCnPr/>
                      <wps:spPr>
                        <a:xfrm>
                          <a:off x="0" y="0"/>
                          <a:ext cx="608235" cy="1043096"/>
                        </a:xfrm>
                        <a:prstGeom prst="straightConnector1">
                          <a:avLst/>
                        </a:prstGeom>
                        <a:ln w="57150">
                          <a:solidFill>
                            <a:srgbClr val="C00000"/>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直接箭头连接符 2" o:spid="_x0000_s1026" o:spt="32" type="#_x0000_t32" style="position:absolute;left:0pt;margin-left:107.15pt;margin-top:99.75pt;height:82.15pt;width:47.9pt;z-index:251660288;mso-width-relative:page;mso-height-relative:page;" filled="f" stroked="t" coordsize="21600,21600" o:gfxdata="UEsDBAoAAAAAAIdO4kAAAAAAAAAAAAAAAAAEAAAAZHJzL1BLAwQUAAAACACHTuJAWRtN/9gAAAAL&#10;AQAADwAAAGRycy9kb3ducmV2LnhtbE2Py07DMBBF90j8gzVI7KjtJlRtiFMBEuzTgsRyEps4IrZD&#10;7D7I1zOs6G5G9+jOmXJ7dgM7min2wSuQCwHM+Dbo3ncK3vYvd2tgMaHXOARvFPyYCNvq+qrEQoeT&#10;r81xlzpGJT4WqMCmNBacx9Yah3ERRuMp+wyTw0Tr1HE94YnK3cCXQqy4w97TBYujebam/dodnILX&#10;OZ/3/XvoLOazrB8/sH5qvpW6vZHiAVgy5/QPw58+qUNFTk04eB3ZoGAp84xQCjabe2BEZFJIYA0N&#10;q2wNvCr55Q/VL1BLAwQUAAAACACHTuJAeYOhtR0CAAAMBAAADgAAAGRycy9lMm9Eb2MueG1srVPN&#10;jtMwEL4j8Q6W7zRpS382arqHluWCoBLsA0wdJ7HkP9nepn0JXgCJE3ACTnvnadjlMRg7pQsLhz2Q&#10;gzOe8ffNzOfx4nyvJNlx54XRJR0Ockq4ZqYSuinp5ZuLJ3NKfABdgTSal/TAPT1fPn606GzBR6Y1&#10;suKOIIn2RWdL2oZgiyzzrOUK/MBYrjFYG6cg4NY1WeWgQ3Yls1GeT7POuMo6w7j36F33QXpkdA8h&#10;NHUtGF8bdqW4Dj2r4xICtuRbYT1dpmrrmrPwqq49D0SWFDsNacUkaG/jmi0XUDQObCvYsQR4SAn3&#10;elIgNCY9Ua0hALly4i8qJZgz3tRhwIzK+kaSItjFML+nzesWLE+9oNTenkT3/4+WvdxtHBEVTsJs&#10;PJtPzqbTCSUaFN787bvrm7cfb79++f7h+se399H+/ImMomad9QVCV3rjjjtvNy4KsK+din9sjeyT&#10;zoeTznwfCEPnNJ+PxpiGYWiYPx3nZ9NImt2hrfPhOTeKRKOkPjgQTRtWRmu8UuOGSWzYvfChB/4C&#10;xNTaXAgp0Q+F1KQr6WQ2nOCFM8BxrXFM0FQWW/a6oQRkg++ABZcovZGiivCI9q7ZrqQjO8DpWeXx&#10;O9b5x7GYew2+7c+lUDwGhRIBn4oUqqTzExqKlkP1TFckHCyqHJwA3UjeQwII+e8YqiM1ihSl78WO&#10;1tZUh3QHyY9DkmQ8DnScwt/3CX33iJc/A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I4EAABbQ29udGVudF9UeXBlc10ueG1sUEsBAhQACgAAAAAA&#10;h07iQAAAAAAAAAAAAAAAAAYAAAAAAAAAAAAQAAAAcAMAAF9yZWxzL1BLAQIUABQAAAAIAIdO4kCK&#10;FGY80QAAAJQBAAALAAAAAAAAAAEAIAAAAJQDAABfcmVscy8ucmVsc1BLAQIUAAoAAAAAAIdO4kAA&#10;AAAAAAAAAAAAAAAEAAAAAAAAAAAAEAAAAAAAAABkcnMvUEsBAhQAFAAAAAgAh07iQFkbTf/YAAAA&#10;CwEAAA8AAAAAAAAAAQAgAAAAIgAAAGRycy9kb3ducmV2LnhtbFBLAQIUABQAAAAIAIdO4kB5g6G1&#10;HQIAAAwEAAAOAAAAAAAAAAEAIAAAACcBAABkcnMvZTJvRG9jLnhtbFBLBQYAAAAABgAGAFkBAAC2&#10;BQAAAAA=&#10;">
                <v:fill on="f" focussize="0,0"/>
                <v:stroke weight="4.5pt" color="#C00000 [3204]" miterlimit="8" joinstyle="miter" startarrow="block" endarrow="block"/>
                <v:imagedata o:title=""/>
                <o:lock v:ext="edit" aspectratio="f"/>
              </v:shape>
            </w:pict>
          </mc:Fallback>
        </mc:AlternateContent>
      </w:r>
      <w:r>
        <w:rPr>
          <w:color w:val="auto"/>
          <w:highlight w:val="none"/>
        </w:rPr>
        <w:drawing>
          <wp:inline distT="0" distB="0" distL="0" distR="0">
            <wp:extent cx="3945890" cy="3689350"/>
            <wp:effectExtent l="0" t="0" r="6985" b="6350"/>
            <wp:docPr id="170296979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2969793" name="图片 1"/>
                    <pic:cNvPicPr>
                      <a:picLocks noChangeAspect="1"/>
                    </pic:cNvPicPr>
                  </pic:nvPicPr>
                  <pic:blipFill>
                    <a:blip r:embed="rId7"/>
                    <a:stretch>
                      <a:fillRect/>
                    </a:stretch>
                  </pic:blipFill>
                  <pic:spPr>
                    <a:xfrm>
                      <a:off x="0" y="0"/>
                      <a:ext cx="3979037" cy="3719867"/>
                    </a:xfrm>
                    <a:prstGeom prst="rect">
                      <a:avLst/>
                    </a:prstGeom>
                  </pic:spPr>
                </pic:pic>
              </a:graphicData>
            </a:graphic>
          </wp:inline>
        </w:drawing>
      </w:r>
    </w:p>
    <w:p w14:paraId="4A5D5197">
      <w:pPr>
        <w:widowControl w:val="0"/>
        <w:spacing w:line="240" w:lineRule="auto"/>
        <w:ind w:firstLine="0" w:firstLineChars="0"/>
        <w:jc w:val="center"/>
        <w:rPr>
          <w:color w:val="auto"/>
          <w:highlight w:val="none"/>
          <w:lang w:eastAsia="zh-CN"/>
        </w:rPr>
      </w:pPr>
      <w:r>
        <w:rPr>
          <w:rFonts w:hint="eastAsia"/>
          <w:color w:val="auto"/>
          <w:highlight w:val="none"/>
          <w:lang w:eastAsia="zh-CN"/>
        </w:rPr>
        <w:t>图2 风机模型参考图（图片来源于网络，仅供参考）</w:t>
      </w:r>
    </w:p>
    <w:p w14:paraId="7E98CA5E">
      <w:pPr>
        <w:widowControl w:val="0"/>
        <w:spacing w:line="240" w:lineRule="auto"/>
        <w:ind w:firstLine="0" w:firstLineChars="0"/>
        <w:rPr>
          <w:rFonts w:ascii="Times New Roman" w:hAnsi="Times New Roman"/>
          <w:color w:val="auto"/>
          <w:kern w:val="2"/>
          <w:highlight w:val="none"/>
          <w:lang w:eastAsia="zh-CN"/>
          <w14:ligatures w14:val="standardContextual"/>
        </w:rPr>
      </w:pPr>
      <w:r>
        <w:rPr>
          <w:color w:val="auto"/>
          <w:highlight w:val="none"/>
          <w:lang w:eastAsia="zh-CN"/>
        </w:rPr>
        <w:t>注：以上参考示意图中的阀门</w:t>
      </w:r>
      <w:r>
        <w:rPr>
          <w:rFonts w:hint="eastAsia"/>
          <w:color w:val="auto"/>
          <w:highlight w:val="none"/>
          <w:lang w:eastAsia="zh-CN"/>
        </w:rPr>
        <w:t>等</w:t>
      </w:r>
      <w:r>
        <w:rPr>
          <w:color w:val="auto"/>
          <w:highlight w:val="none"/>
          <w:lang w:eastAsia="zh-CN"/>
        </w:rPr>
        <w:t>与实际产品可能存在差异，仅作为投标人设计参考，用于评估</w:t>
      </w:r>
      <w:r>
        <w:rPr>
          <w:rFonts w:hint="eastAsia"/>
          <w:color w:val="auto"/>
          <w:highlight w:val="none"/>
          <w:lang w:eastAsia="zh-CN"/>
        </w:rPr>
        <w:t>投标人的</w:t>
      </w:r>
      <w:r>
        <w:rPr>
          <w:color w:val="auto"/>
          <w:highlight w:val="none"/>
          <w:lang w:eastAsia="zh-CN"/>
        </w:rPr>
        <w:t>设计能力。具体方案及布置以最终设计为准。</w:t>
      </w:r>
    </w:p>
    <w:p w14:paraId="0553BD99">
      <w:pPr>
        <w:ind w:firstLine="0" w:firstLineChars="0"/>
        <w:outlineLvl w:val="1"/>
        <w:rPr>
          <w:rFonts w:ascii="Times New Roman" w:hAnsi="Times New Roman"/>
          <w:b/>
          <w:bCs/>
          <w:color w:val="auto"/>
          <w:highlight w:val="none"/>
          <w:lang w:eastAsia="zh-CN"/>
        </w:rPr>
      </w:pPr>
      <w:bookmarkStart w:id="12" w:name="_Toc231463210"/>
      <w:bookmarkStart w:id="13" w:name="_Toc231463179"/>
      <w:r>
        <w:rPr>
          <w:rFonts w:ascii="Times New Roman" w:hAnsi="Times New Roman"/>
          <w:b/>
          <w:bCs/>
          <w:color w:val="auto"/>
          <w:highlight w:val="none"/>
          <w:lang w:eastAsia="zh-CN"/>
        </w:rPr>
        <w:t>1.2 采购范围</w:t>
      </w:r>
      <w:bookmarkEnd w:id="12"/>
      <w:bookmarkEnd w:id="13"/>
    </w:p>
    <w:p w14:paraId="7F7113E7">
      <w:pPr>
        <w:spacing w:line="360" w:lineRule="auto"/>
        <w:ind w:firstLine="480"/>
        <w:rPr>
          <w:rFonts w:ascii="Times New Roman" w:hAnsi="Times New Roman"/>
          <w:color w:val="auto"/>
          <w:highlight w:val="none"/>
          <w:lang w:eastAsia="zh-CN"/>
        </w:rPr>
      </w:pPr>
      <w:bookmarkStart w:id="14" w:name="_Toc492975179"/>
      <w:bookmarkStart w:id="15" w:name="_Toc231463180"/>
      <w:bookmarkStart w:id="16" w:name="_Toc55393914"/>
      <w:bookmarkStart w:id="17" w:name="_Toc231463211"/>
      <w:bookmarkStart w:id="18" w:name="_Toc519584757"/>
      <w:bookmarkStart w:id="19" w:name="_Toc492974357"/>
      <w:bookmarkStart w:id="20" w:name="_Toc480533542"/>
      <w:bookmarkStart w:id="21" w:name="_Toc266794623"/>
      <w:bookmarkStart w:id="22" w:name="_Toc524687752"/>
      <w:r>
        <w:rPr>
          <w:rFonts w:ascii="Times New Roman" w:hAnsi="Times New Roman"/>
          <w:color w:val="auto"/>
          <w:highlight w:val="none"/>
          <w:lang w:eastAsia="zh-CN"/>
        </w:rPr>
        <w:t>本次采购范围包括但不限于：</w:t>
      </w:r>
    </w:p>
    <w:p w14:paraId="30157563">
      <w:pPr>
        <w:numPr>
          <w:ilvl w:val="0"/>
          <w:numId w:val="5"/>
        </w:numPr>
        <w:spacing w:line="360" w:lineRule="auto"/>
        <w:ind w:firstLineChars="0"/>
        <w:rPr>
          <w:rFonts w:ascii="Times New Roman" w:hAnsi="Times New Roman"/>
          <w:color w:val="auto"/>
          <w:highlight w:val="none"/>
          <w:lang w:eastAsia="zh-CN"/>
        </w:rPr>
      </w:pPr>
      <w:r>
        <w:rPr>
          <w:rFonts w:ascii="Times New Roman" w:hAnsi="Times New Roman"/>
          <w:color w:val="auto"/>
          <w:highlight w:val="none"/>
          <w:lang w:eastAsia="zh-CN"/>
        </w:rPr>
        <w:t>满足甲方要求和施工规范要求的设计及计算书；</w:t>
      </w:r>
    </w:p>
    <w:p w14:paraId="4245232B">
      <w:pPr>
        <w:numPr>
          <w:ilvl w:val="0"/>
          <w:numId w:val="5"/>
        </w:numPr>
        <w:spacing w:line="360" w:lineRule="auto"/>
        <w:ind w:firstLineChars="0"/>
        <w:rPr>
          <w:rFonts w:ascii="Times New Roman" w:hAnsi="Times New Roman"/>
          <w:color w:val="auto"/>
          <w:highlight w:val="none"/>
          <w:lang w:eastAsia="zh-CN"/>
        </w:rPr>
      </w:pPr>
      <w:r>
        <w:rPr>
          <w:rFonts w:ascii="Times New Roman" w:hAnsi="Times New Roman"/>
          <w:color w:val="auto"/>
          <w:kern w:val="2"/>
          <w:highlight w:val="none"/>
          <w:lang w:eastAsia="zh-CN"/>
          <w14:ligatures w14:val="standardContextual"/>
        </w:rPr>
        <w:t>循环风机橇块</w:t>
      </w:r>
      <w:r>
        <w:rPr>
          <w:rFonts w:ascii="Times New Roman" w:hAnsi="Times New Roman"/>
          <w:color w:val="auto"/>
          <w:highlight w:val="none"/>
          <w:lang w:eastAsia="zh-CN"/>
        </w:rPr>
        <w:t>二维图及竣工图；</w:t>
      </w:r>
    </w:p>
    <w:p w14:paraId="7162F80B">
      <w:pPr>
        <w:numPr>
          <w:ilvl w:val="0"/>
          <w:numId w:val="5"/>
        </w:numPr>
        <w:spacing w:line="360" w:lineRule="auto"/>
        <w:ind w:firstLineChars="0"/>
        <w:rPr>
          <w:rFonts w:ascii="Times New Roman" w:hAnsi="Times New Roman"/>
          <w:color w:val="auto"/>
          <w:highlight w:val="none"/>
          <w:lang w:eastAsia="zh-CN"/>
        </w:rPr>
      </w:pPr>
      <w:r>
        <w:rPr>
          <w:rFonts w:ascii="Times New Roman" w:hAnsi="Times New Roman"/>
          <w:color w:val="auto"/>
          <w:kern w:val="2"/>
          <w:highlight w:val="none"/>
          <w:lang w:eastAsia="zh-CN"/>
          <w14:ligatures w14:val="standardContextual"/>
        </w:rPr>
        <w:t>循环风机橇块</w:t>
      </w:r>
      <w:r>
        <w:rPr>
          <w:rFonts w:ascii="Times New Roman" w:hAnsi="Times New Roman"/>
          <w:color w:val="auto"/>
          <w:highlight w:val="none"/>
          <w:lang w:eastAsia="zh-CN"/>
        </w:rPr>
        <w:t>设计及加工制造；</w:t>
      </w:r>
    </w:p>
    <w:p w14:paraId="7CD2AC83">
      <w:pPr>
        <w:numPr>
          <w:ilvl w:val="0"/>
          <w:numId w:val="5"/>
        </w:numPr>
        <w:spacing w:line="360" w:lineRule="auto"/>
        <w:ind w:firstLineChars="0"/>
        <w:rPr>
          <w:rFonts w:ascii="Times New Roman" w:hAnsi="Times New Roman"/>
          <w:color w:val="auto"/>
          <w:highlight w:val="none"/>
          <w:lang w:eastAsia="zh-CN"/>
        </w:rPr>
      </w:pPr>
      <w:r>
        <w:rPr>
          <w:rFonts w:ascii="Times New Roman" w:hAnsi="Times New Roman"/>
          <w:color w:val="auto"/>
          <w:kern w:val="2"/>
          <w:highlight w:val="none"/>
          <w:lang w:eastAsia="zh-CN"/>
          <w14:ligatures w14:val="standardContextual"/>
        </w:rPr>
        <w:t>循环风机橇块</w:t>
      </w:r>
      <w:r>
        <w:rPr>
          <w:rFonts w:ascii="Times New Roman" w:hAnsi="Times New Roman"/>
          <w:color w:val="auto"/>
          <w:highlight w:val="none"/>
          <w:lang w:eastAsia="zh-CN"/>
        </w:rPr>
        <w:t>面板、支撑结构设计及加工制造；</w:t>
      </w:r>
    </w:p>
    <w:p w14:paraId="39311ACC">
      <w:pPr>
        <w:numPr>
          <w:ilvl w:val="0"/>
          <w:numId w:val="5"/>
        </w:numPr>
        <w:spacing w:line="360" w:lineRule="auto"/>
        <w:ind w:firstLineChars="0"/>
        <w:rPr>
          <w:rFonts w:ascii="Times New Roman" w:hAnsi="Times New Roman"/>
          <w:color w:val="auto"/>
          <w:highlight w:val="none"/>
          <w:lang w:eastAsia="zh-CN"/>
        </w:rPr>
      </w:pPr>
      <w:r>
        <w:rPr>
          <w:rFonts w:ascii="Times New Roman" w:hAnsi="Times New Roman"/>
          <w:color w:val="auto"/>
          <w:kern w:val="2"/>
          <w:highlight w:val="none"/>
          <w:lang w:eastAsia="zh-CN"/>
          <w14:ligatures w14:val="standardContextual"/>
        </w:rPr>
        <w:t>循环风机橇块</w:t>
      </w:r>
      <w:r>
        <w:rPr>
          <w:rFonts w:ascii="Times New Roman" w:hAnsi="Times New Roman"/>
          <w:color w:val="auto"/>
          <w:highlight w:val="none"/>
          <w:lang w:eastAsia="zh-CN"/>
        </w:rPr>
        <w:t>接管详细设计及制造；</w:t>
      </w:r>
    </w:p>
    <w:p w14:paraId="2BDDCBAB">
      <w:pPr>
        <w:numPr>
          <w:ilvl w:val="0"/>
          <w:numId w:val="5"/>
        </w:numPr>
        <w:spacing w:line="360" w:lineRule="auto"/>
        <w:ind w:firstLineChars="0"/>
        <w:rPr>
          <w:rFonts w:ascii="Times New Roman" w:hAnsi="Times New Roman"/>
          <w:color w:val="auto"/>
          <w:highlight w:val="none"/>
        </w:rPr>
      </w:pPr>
      <w:r>
        <w:rPr>
          <w:rFonts w:ascii="Times New Roman" w:hAnsi="Times New Roman"/>
          <w:color w:val="auto"/>
          <w:highlight w:val="none"/>
        </w:rPr>
        <w:t>符合要求的备件；</w:t>
      </w:r>
    </w:p>
    <w:p w14:paraId="76DB2480">
      <w:pPr>
        <w:numPr>
          <w:ilvl w:val="0"/>
          <w:numId w:val="5"/>
        </w:numPr>
        <w:spacing w:line="360" w:lineRule="auto"/>
        <w:ind w:firstLineChars="0"/>
        <w:rPr>
          <w:rFonts w:ascii="Times New Roman" w:hAnsi="Times New Roman"/>
          <w:color w:val="auto"/>
          <w:highlight w:val="none"/>
        </w:rPr>
      </w:pPr>
      <w:r>
        <w:rPr>
          <w:rFonts w:ascii="Times New Roman" w:hAnsi="Times New Roman"/>
          <w:color w:val="auto"/>
          <w:highlight w:val="none"/>
        </w:rPr>
        <w:t>试验材料；</w:t>
      </w:r>
    </w:p>
    <w:p w14:paraId="50144A58">
      <w:pPr>
        <w:spacing w:line="360" w:lineRule="auto"/>
        <w:ind w:firstLine="480"/>
        <w:rPr>
          <w:rFonts w:ascii="Times New Roman" w:hAnsi="Times New Roman"/>
          <w:color w:val="auto"/>
          <w:highlight w:val="none"/>
          <w:lang w:eastAsia="zh-CN"/>
        </w:rPr>
      </w:pPr>
      <w:r>
        <w:rPr>
          <w:rFonts w:ascii="Times New Roman" w:hAnsi="Times New Roman"/>
          <w:color w:val="auto"/>
          <w:highlight w:val="none"/>
          <w:lang w:eastAsia="zh-CN"/>
        </w:rPr>
        <w:t>此外，乙方的服务范围还应包括：</w:t>
      </w:r>
    </w:p>
    <w:p w14:paraId="3574F7F2">
      <w:pPr>
        <w:numPr>
          <w:ilvl w:val="0"/>
          <w:numId w:val="6"/>
        </w:numPr>
        <w:spacing w:line="360" w:lineRule="auto"/>
        <w:ind w:left="480" w:leftChars="200" w:firstLineChars="0"/>
        <w:rPr>
          <w:rFonts w:ascii="Times New Roman" w:hAnsi="Times New Roman"/>
          <w:color w:val="auto"/>
          <w:highlight w:val="none"/>
          <w:lang w:eastAsia="zh-CN"/>
        </w:rPr>
      </w:pPr>
      <w:r>
        <w:rPr>
          <w:rFonts w:ascii="Times New Roman" w:hAnsi="Times New Roman"/>
          <w:color w:val="auto"/>
          <w:highlight w:val="none"/>
          <w:lang w:eastAsia="zh-CN"/>
        </w:rPr>
        <w:t>检验工作：主要包括材料进场复验、设备清洁，焊缝无损检测、气密性试验等设备的调试，关键设备发货前的出厂检验。</w:t>
      </w:r>
    </w:p>
    <w:p w14:paraId="6358E0EB">
      <w:pPr>
        <w:numPr>
          <w:ilvl w:val="0"/>
          <w:numId w:val="6"/>
        </w:numPr>
        <w:spacing w:line="360" w:lineRule="auto"/>
        <w:ind w:left="480" w:leftChars="200" w:firstLineChars="0"/>
        <w:rPr>
          <w:rFonts w:ascii="Times New Roman" w:hAnsi="Times New Roman"/>
          <w:color w:val="auto"/>
          <w:highlight w:val="none"/>
          <w:lang w:eastAsia="zh-CN"/>
        </w:rPr>
      </w:pPr>
      <w:r>
        <w:rPr>
          <w:rFonts w:ascii="Times New Roman" w:hAnsi="Times New Roman"/>
          <w:color w:val="auto"/>
          <w:highlight w:val="none"/>
          <w:lang w:eastAsia="zh-CN"/>
        </w:rPr>
        <w:t>技术文件：提供系统设计资料，过程检验记录、设备材料的出厂资料如检验证书、出厂合格证书等，以及现场验收资料和报告。</w:t>
      </w:r>
    </w:p>
    <w:p w14:paraId="63B987B0">
      <w:pPr>
        <w:numPr>
          <w:ilvl w:val="0"/>
          <w:numId w:val="6"/>
        </w:numPr>
        <w:spacing w:line="360" w:lineRule="auto"/>
        <w:ind w:left="480" w:leftChars="200" w:firstLineChars="0"/>
        <w:rPr>
          <w:rFonts w:ascii="Times New Roman" w:hAnsi="Times New Roman"/>
          <w:color w:val="auto"/>
          <w:highlight w:val="none"/>
          <w:lang w:eastAsia="zh-CN"/>
        </w:rPr>
      </w:pPr>
      <w:r>
        <w:rPr>
          <w:rFonts w:ascii="Times New Roman" w:hAnsi="Times New Roman"/>
          <w:color w:val="auto"/>
          <w:highlight w:val="none"/>
          <w:lang w:eastAsia="zh-CN"/>
        </w:rPr>
        <w:t>本项目的设计、制造、安装、验收、运行等全过程，组织实施、人员调度等过程中，操作人员、单位经营范围的资质必须齐全规范（如压力容器设计资质、固定式压力容器制造资质、压力管道安装许可证、焊工证、无损检测人员资格证书、安全生产许可证和环境保护许可证等），满足有关特种设备安全的国家和地方法规，需主动协助甲方完成其他质量管理及进度管理工作。甲方有对项目进行项目质量监管及项目进度追踪的权利。</w:t>
      </w:r>
    </w:p>
    <w:p w14:paraId="16604618">
      <w:pPr>
        <w:pStyle w:val="2"/>
        <w:numPr>
          <w:ilvl w:val="0"/>
          <w:numId w:val="2"/>
        </w:numPr>
        <w:spacing w:line="360" w:lineRule="auto"/>
        <w:jc w:val="both"/>
        <w:rPr>
          <w:rFonts w:ascii="Times New Roman" w:hAnsi="Times New Roman" w:eastAsia="宋体" w:cs="Times New Roman"/>
          <w:color w:val="auto"/>
          <w:highlight w:val="none"/>
        </w:rPr>
      </w:pPr>
      <w:r>
        <w:rPr>
          <w:rFonts w:ascii="Times New Roman" w:hAnsi="Times New Roman" w:eastAsia="宋体" w:cs="Times New Roman"/>
          <w:color w:val="auto"/>
          <w:highlight w:val="none"/>
        </w:rPr>
        <w:t>工作范围</w:t>
      </w:r>
      <w:bookmarkEnd w:id="14"/>
      <w:bookmarkEnd w:id="15"/>
      <w:bookmarkEnd w:id="16"/>
      <w:bookmarkEnd w:id="17"/>
      <w:bookmarkEnd w:id="18"/>
      <w:bookmarkEnd w:id="19"/>
      <w:bookmarkEnd w:id="20"/>
      <w:bookmarkEnd w:id="21"/>
      <w:bookmarkEnd w:id="22"/>
    </w:p>
    <w:p w14:paraId="066DD5C6">
      <w:pPr>
        <w:ind w:firstLine="0" w:firstLineChars="0"/>
        <w:outlineLvl w:val="1"/>
        <w:rPr>
          <w:rFonts w:ascii="Times New Roman" w:hAnsi="Times New Roman"/>
          <w:b/>
          <w:bCs/>
          <w:color w:val="auto"/>
          <w:highlight w:val="none"/>
          <w:lang w:eastAsia="zh-CN"/>
        </w:rPr>
      </w:pPr>
      <w:bookmarkStart w:id="23" w:name="_Toc231463181"/>
      <w:bookmarkStart w:id="24" w:name="_Toc231463212"/>
      <w:r>
        <w:rPr>
          <w:rFonts w:ascii="Times New Roman" w:hAnsi="Times New Roman"/>
          <w:b/>
          <w:bCs/>
          <w:color w:val="auto"/>
          <w:highlight w:val="none"/>
          <w:lang w:eastAsia="zh-CN"/>
        </w:rPr>
        <w:t>2.1 .工作条件</w:t>
      </w:r>
      <w:bookmarkEnd w:id="23"/>
      <w:bookmarkEnd w:id="24"/>
    </w:p>
    <w:p w14:paraId="6BF8B0C0">
      <w:pPr>
        <w:numPr>
          <w:ilvl w:val="0"/>
          <w:numId w:val="7"/>
        </w:numPr>
        <w:spacing w:line="360" w:lineRule="auto"/>
        <w:ind w:firstLineChars="0"/>
        <w:rPr>
          <w:rFonts w:ascii="Times New Roman" w:hAnsi="Times New Roman"/>
          <w:color w:val="auto"/>
          <w:highlight w:val="none"/>
          <w:lang w:eastAsia="zh-CN"/>
        </w:rPr>
      </w:pPr>
      <w:r>
        <w:rPr>
          <w:color w:val="auto"/>
          <w:highlight w:val="none"/>
          <w:lang w:eastAsia="zh-CN"/>
        </w:rPr>
        <w:t>工作条件与区域：室内，气温-1</w:t>
      </w:r>
      <w:r>
        <w:rPr>
          <w:rFonts w:hint="eastAsia"/>
          <w:color w:val="auto"/>
          <w:highlight w:val="none"/>
          <w:lang w:eastAsia="zh-CN"/>
        </w:rPr>
        <w:t>5</w:t>
      </w:r>
      <w:r>
        <w:rPr>
          <w:rFonts w:ascii="Cambria Math" w:hAnsi="Cambria Math" w:cs="Cambria Math"/>
          <w:color w:val="auto"/>
          <w:highlight w:val="none"/>
          <w:lang w:eastAsia="zh-CN"/>
        </w:rPr>
        <w:t>℃</w:t>
      </w:r>
      <w:r>
        <w:rPr>
          <w:color w:val="auto"/>
          <w:highlight w:val="none"/>
          <w:lang w:eastAsia="zh-CN"/>
        </w:rPr>
        <w:t>～50</w:t>
      </w:r>
      <w:r>
        <w:rPr>
          <w:rFonts w:ascii="Cambria Math" w:hAnsi="Cambria Math" w:cs="Cambria Math"/>
          <w:color w:val="auto"/>
          <w:highlight w:val="none"/>
          <w:lang w:eastAsia="zh-CN"/>
        </w:rPr>
        <w:t>℃</w:t>
      </w:r>
      <w:r>
        <w:rPr>
          <w:color w:val="auto"/>
          <w:highlight w:val="none"/>
          <w:lang w:eastAsia="zh-CN"/>
        </w:rPr>
        <w:t>，相对湿度不超过90%；</w:t>
      </w:r>
      <w:r>
        <w:rPr>
          <w:rFonts w:ascii="Times New Roman" w:hAnsi="Times New Roman"/>
          <w:color w:val="auto"/>
          <w:highlight w:val="none"/>
          <w:lang w:eastAsia="zh-CN"/>
        </w:rPr>
        <w:t>橇块抗震等级：8级，设计基本地震加速度为0.2g;</w:t>
      </w:r>
    </w:p>
    <w:p w14:paraId="3EA1AB76">
      <w:pPr>
        <w:numPr>
          <w:ilvl w:val="0"/>
          <w:numId w:val="7"/>
        </w:numPr>
        <w:spacing w:line="360" w:lineRule="auto"/>
        <w:ind w:firstLineChars="0"/>
        <w:rPr>
          <w:rFonts w:ascii="Times New Roman" w:hAnsi="Times New Roman"/>
          <w:color w:val="auto"/>
          <w:highlight w:val="none"/>
          <w:lang w:eastAsia="zh-CN"/>
        </w:rPr>
      </w:pPr>
      <w:r>
        <w:rPr>
          <w:rFonts w:ascii="Times New Roman" w:hAnsi="Times New Roman"/>
          <w:color w:val="auto"/>
          <w:highlight w:val="none"/>
          <w:lang w:eastAsia="zh-CN"/>
        </w:rPr>
        <w:t>防尘防水等级：IP54;</w:t>
      </w:r>
    </w:p>
    <w:p w14:paraId="5B3BB57E">
      <w:pPr>
        <w:spacing w:line="360" w:lineRule="auto"/>
        <w:ind w:firstLine="480"/>
        <w:rPr>
          <w:rFonts w:ascii="Times New Roman" w:hAnsi="Times New Roman"/>
          <w:color w:val="auto"/>
          <w:highlight w:val="none"/>
          <w:lang w:eastAsia="zh-CN"/>
        </w:rPr>
      </w:pPr>
      <w:r>
        <w:rPr>
          <w:rFonts w:ascii="Times New Roman" w:hAnsi="Times New Roman"/>
          <w:color w:val="auto"/>
          <w:highlight w:val="none"/>
          <w:lang w:eastAsia="zh-CN"/>
        </w:rPr>
        <w:t>备注：如产品达不到上述要求，投标人应注明其偏差。如仪器设备需要特殊工作条件（如水、电源、磁场强度、温度、湿度、动强度等）投标人应在投标书中加以说明。</w:t>
      </w:r>
    </w:p>
    <w:p w14:paraId="5425848B">
      <w:bookmarkStart w:id="25" w:name="_GoBack"/>
      <w:bookmarkEnd w:id="25"/>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Cambria Math">
    <w:panose1 w:val="02040503050406030204"/>
    <w:charset w:val="00"/>
    <w:family w:val="roman"/>
    <w:pitch w:val="default"/>
    <w:sig w:usb0="E00006FF" w:usb1="420024FF" w:usb2="02000000" w:usb3="00000000" w:csb0="2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480"/>
      </w:pPr>
      <w:r>
        <w:separator/>
      </w:r>
    </w:p>
  </w:footnote>
  <w:footnote w:type="continuationSeparator" w:id="1">
    <w:p>
      <w:pPr>
        <w:spacing w:line="240" w:lineRule="auto"/>
        <w:ind w:firstLine="48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CE7C554"/>
    <w:multiLevelType w:val="singleLevel"/>
    <w:tmpl w:val="9CE7C554"/>
    <w:lvl w:ilvl="0" w:tentative="0">
      <w:start w:val="1"/>
      <w:numFmt w:val="decimal"/>
      <w:lvlText w:val="%1."/>
      <w:lvlJc w:val="left"/>
      <w:pPr>
        <w:tabs>
          <w:tab w:val="left" w:pos="420"/>
        </w:tabs>
        <w:ind w:left="845" w:hanging="425"/>
      </w:pPr>
      <w:rPr>
        <w:rFonts w:hint="default"/>
      </w:rPr>
    </w:lvl>
  </w:abstractNum>
  <w:abstractNum w:abstractNumId="1">
    <w:nsid w:val="A2F3DFD5"/>
    <w:multiLevelType w:val="singleLevel"/>
    <w:tmpl w:val="A2F3DFD5"/>
    <w:lvl w:ilvl="0" w:tentative="0">
      <w:start w:val="1"/>
      <w:numFmt w:val="decimal"/>
      <w:lvlText w:val="%1."/>
      <w:lvlJc w:val="left"/>
      <w:pPr>
        <w:tabs>
          <w:tab w:val="left" w:pos="420"/>
        </w:tabs>
        <w:ind w:left="845" w:hanging="425"/>
      </w:pPr>
      <w:rPr>
        <w:rFonts w:hint="default"/>
      </w:rPr>
    </w:lvl>
  </w:abstractNum>
  <w:abstractNum w:abstractNumId="2">
    <w:nsid w:val="11871CDD"/>
    <w:multiLevelType w:val="multilevel"/>
    <w:tmpl w:val="11871CDD"/>
    <w:lvl w:ilvl="0" w:tentative="0">
      <w:start w:val="1"/>
      <w:numFmt w:val="decimal"/>
      <w:lvlText w:val="%1."/>
      <w:lvlJc w:val="left"/>
      <w:pPr>
        <w:ind w:left="440" w:hanging="440"/>
      </w:p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3">
    <w:nsid w:val="4CEF268C"/>
    <w:multiLevelType w:val="multilevel"/>
    <w:tmpl w:val="4CEF268C"/>
    <w:lvl w:ilvl="0" w:tentative="0">
      <w:start w:val="1"/>
      <w:numFmt w:val="decimal"/>
      <w:pStyle w:val="2"/>
      <w:lvlText w:val="%1."/>
      <w:lvlJc w:val="left"/>
      <w:rPr>
        <w:rFonts w:cs="Times New Roman"/>
        <w:b/>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rPr>
    </w:lvl>
    <w:lvl w:ilvl="1" w:tentative="0">
      <w:start w:val="1"/>
      <w:numFmt w:val="decimal"/>
      <w:lvlText w:val="%1.%2."/>
      <w:lvlJc w:val="left"/>
      <w:rPr>
        <w:rFonts w:cs="Times New Roman"/>
        <w:b/>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rPr>
    </w:lvl>
    <w:lvl w:ilvl="2" w:tentative="0">
      <w:start w:val="1"/>
      <w:numFmt w:val="decimal"/>
      <w:lvlText w:val="%1.%2.%3."/>
      <w:lvlJc w:val="left"/>
      <w:pPr>
        <w:ind w:left="709" w:hanging="709"/>
      </w:pPr>
    </w:lvl>
    <w:lvl w:ilvl="3" w:tentative="0">
      <w:start w:val="1"/>
      <w:numFmt w:val="decimal"/>
      <w:lvlText w:val="%1.%2.%3.%4."/>
      <w:lvlJc w:val="left"/>
      <w:pPr>
        <w:ind w:left="851" w:hanging="851"/>
      </w:pPr>
    </w:lvl>
    <w:lvl w:ilvl="4" w:tentative="0">
      <w:start w:val="1"/>
      <w:numFmt w:val="decimal"/>
      <w:lvlText w:val="%1.%2.%3.%4.%5."/>
      <w:lvlJc w:val="left"/>
      <w:pPr>
        <w:ind w:left="992" w:hanging="992"/>
      </w:pPr>
    </w:lvl>
    <w:lvl w:ilvl="5" w:tentative="0">
      <w:start w:val="1"/>
      <w:numFmt w:val="decimal"/>
      <w:lvlText w:val="%1.%2.%3.%4.%5.%6."/>
      <w:lvlJc w:val="left"/>
      <w:pPr>
        <w:ind w:left="1134" w:hanging="1134"/>
      </w:pPr>
    </w:lvl>
    <w:lvl w:ilvl="6" w:tentative="0">
      <w:start w:val="1"/>
      <w:numFmt w:val="decimal"/>
      <w:lvlText w:val="%1.%2.%3.%4.%5.%6.%7."/>
      <w:lvlJc w:val="left"/>
      <w:pPr>
        <w:ind w:left="1276" w:hanging="1276"/>
      </w:pPr>
    </w:lvl>
    <w:lvl w:ilvl="7" w:tentative="0">
      <w:start w:val="1"/>
      <w:numFmt w:val="decimal"/>
      <w:lvlText w:val="%1.%2.%3.%4.%5.%6.%7.%8."/>
      <w:lvlJc w:val="left"/>
      <w:pPr>
        <w:ind w:left="1418" w:hanging="1418"/>
      </w:pPr>
    </w:lvl>
    <w:lvl w:ilvl="8" w:tentative="0">
      <w:start w:val="1"/>
      <w:numFmt w:val="decimal"/>
      <w:lvlText w:val="%1.%2.%3.%4.%5.%6.%7.%8.%9."/>
      <w:lvlJc w:val="left"/>
      <w:pPr>
        <w:ind w:left="1559" w:hanging="1559"/>
      </w:pPr>
    </w:lvl>
  </w:abstractNum>
  <w:abstractNum w:abstractNumId="4">
    <w:nsid w:val="70984AD8"/>
    <w:multiLevelType w:val="multilevel"/>
    <w:tmpl w:val="70984AD8"/>
    <w:lvl w:ilvl="0" w:tentative="0">
      <w:start w:val="1"/>
      <w:numFmt w:val="decimalEnclosedCircle"/>
      <w:lvlText w:val="%1"/>
      <w:lvlJc w:val="left"/>
      <w:pPr>
        <w:ind w:left="3114" w:hanging="420"/>
      </w:pPr>
      <w:rPr>
        <w:rFonts w:hint="default"/>
      </w:rPr>
    </w:lvl>
    <w:lvl w:ilvl="1" w:tentative="0">
      <w:start w:val="1"/>
      <w:numFmt w:val="lowerLetter"/>
      <w:lvlText w:val="%2)"/>
      <w:lvlJc w:val="left"/>
      <w:pPr>
        <w:ind w:left="1620" w:hanging="420"/>
      </w:pPr>
    </w:lvl>
    <w:lvl w:ilvl="2" w:tentative="0">
      <w:start w:val="1"/>
      <w:numFmt w:val="lowerRoman"/>
      <w:lvlText w:val="%3."/>
      <w:lvlJc w:val="right"/>
      <w:pPr>
        <w:ind w:left="2040" w:hanging="420"/>
      </w:pPr>
    </w:lvl>
    <w:lvl w:ilvl="3" w:tentative="0">
      <w:start w:val="1"/>
      <w:numFmt w:val="decimal"/>
      <w:lvlText w:val="%4."/>
      <w:lvlJc w:val="left"/>
      <w:pPr>
        <w:ind w:left="2460" w:hanging="420"/>
      </w:pPr>
    </w:lvl>
    <w:lvl w:ilvl="4" w:tentative="0">
      <w:start w:val="1"/>
      <w:numFmt w:val="lowerLetter"/>
      <w:lvlText w:val="%5)"/>
      <w:lvlJc w:val="left"/>
      <w:pPr>
        <w:ind w:left="2880" w:hanging="420"/>
      </w:pPr>
    </w:lvl>
    <w:lvl w:ilvl="5" w:tentative="0">
      <w:start w:val="1"/>
      <w:numFmt w:val="lowerRoman"/>
      <w:lvlText w:val="%6."/>
      <w:lvlJc w:val="right"/>
      <w:pPr>
        <w:ind w:left="3300" w:hanging="420"/>
      </w:pPr>
    </w:lvl>
    <w:lvl w:ilvl="6" w:tentative="0">
      <w:start w:val="1"/>
      <w:numFmt w:val="decimal"/>
      <w:lvlText w:val="%7."/>
      <w:lvlJc w:val="left"/>
      <w:pPr>
        <w:ind w:left="3720" w:hanging="420"/>
      </w:pPr>
    </w:lvl>
    <w:lvl w:ilvl="7" w:tentative="0">
      <w:start w:val="1"/>
      <w:numFmt w:val="lowerLetter"/>
      <w:lvlText w:val="%8)"/>
      <w:lvlJc w:val="left"/>
      <w:pPr>
        <w:ind w:left="4140" w:hanging="420"/>
      </w:pPr>
    </w:lvl>
    <w:lvl w:ilvl="8" w:tentative="0">
      <w:start w:val="1"/>
      <w:numFmt w:val="lowerRoman"/>
      <w:lvlText w:val="%9."/>
      <w:lvlJc w:val="right"/>
      <w:pPr>
        <w:ind w:left="4560" w:hanging="420"/>
      </w:pPr>
    </w:lvl>
  </w:abstractNum>
  <w:abstractNum w:abstractNumId="5">
    <w:nsid w:val="70AB16FE"/>
    <w:multiLevelType w:val="multilevel"/>
    <w:tmpl w:val="70AB16FE"/>
    <w:lvl w:ilvl="0" w:tentative="0">
      <w:start w:val="1"/>
      <w:numFmt w:val="decimal"/>
      <w:lvlText w:val="%1."/>
      <w:lvlJc w:val="left"/>
      <w:pPr>
        <w:ind w:left="440" w:hanging="440"/>
      </w:p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6">
    <w:nsid w:val="7A6AF9A6"/>
    <w:multiLevelType w:val="singleLevel"/>
    <w:tmpl w:val="7A6AF9A6"/>
    <w:lvl w:ilvl="0" w:tentative="0">
      <w:start w:val="1"/>
      <w:numFmt w:val="decimal"/>
      <w:lvlText w:val="%1)"/>
      <w:lvlJc w:val="left"/>
      <w:pPr>
        <w:ind w:left="425" w:hanging="425"/>
      </w:pPr>
      <w:rPr>
        <w:rFonts w:hint="default"/>
      </w:rPr>
    </w:lvl>
  </w:abstractNum>
  <w:num w:numId="1">
    <w:abstractNumId w:val="3"/>
  </w:num>
  <w:num w:numId="2">
    <w:abstractNumId w:val="5"/>
  </w:num>
  <w:num w:numId="3">
    <w:abstractNumId w:val="4"/>
  </w:num>
  <w:num w:numId="4">
    <w:abstractNumId w:val="2"/>
  </w:num>
  <w:num w:numId="5">
    <w:abstractNumId w:val="1"/>
  </w:num>
  <w:num w:numId="6">
    <w:abstractNumId w:val="6"/>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FA13314"/>
    <w:rsid w:val="3FA1331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line="440" w:lineRule="exact"/>
      <w:ind w:firstLine="200" w:firstLineChars="200"/>
    </w:pPr>
    <w:rPr>
      <w:rFonts w:ascii="Calibri" w:hAnsi="Calibri" w:eastAsia="宋体" w:cs="Times New Roman"/>
      <w:sz w:val="24"/>
      <w:szCs w:val="24"/>
      <w:lang w:val="en-US" w:eastAsia="en-US" w:bidi="ar-SA"/>
    </w:rPr>
  </w:style>
  <w:style w:type="paragraph" w:styleId="2">
    <w:name w:val="heading 1"/>
    <w:basedOn w:val="1"/>
    <w:next w:val="1"/>
    <w:qFormat/>
    <w:uiPriority w:val="0"/>
    <w:pPr>
      <w:numPr>
        <w:ilvl w:val="0"/>
        <w:numId w:val="1"/>
      </w:numPr>
      <w:ind w:firstLine="0" w:firstLineChars="0"/>
      <w:outlineLvl w:val="0"/>
    </w:pPr>
    <w:rPr>
      <w:rFonts w:asciiTheme="minorHAnsi" w:hAnsiTheme="minorHAnsi" w:eastAsiaTheme="minorEastAsia" w:cstheme="minorHAnsi"/>
      <w:b/>
      <w:sz w:val="28"/>
      <w:lang w:eastAsia="zh-CN"/>
    </w:rPr>
  </w:style>
  <w:style w:type="paragraph" w:styleId="3">
    <w:name w:val="heading 2"/>
    <w:basedOn w:val="2"/>
    <w:next w:val="1"/>
    <w:qFormat/>
    <w:uiPriority w:val="0"/>
    <w:pPr>
      <w:numPr>
        <w:numId w:val="0"/>
      </w:numPr>
      <w:ind w:left="567" w:hanging="567"/>
      <w:outlineLvl w:val="1"/>
    </w:pPr>
    <w:rPr>
      <w:szCs w:val="28"/>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6">
    <w:name w:val="List Paragraph"/>
    <w:basedOn w:val="1"/>
    <w:qFormat/>
    <w:uiPriority w:val="34"/>
    <w:pPr>
      <w:ind w:firstLine="420"/>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2026-08-10T03:02:00Z</dcterms:created>
  <dc:creator>宋方方</dc:creator>
  <cp:lastModifiedBy>宋方方</cp:lastModifiedBy>
  <dcterms:modified xsi:type="dcterms:W3CDTF">2026-08-10T03:02:47Z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D5BAFEE03C774358A5080B532951C08F_11</vt:lpwstr>
  </property>
  <property fmtid="{D5CDD505-2E9C-101B-9397-08002B2CF9AE}" pid="4" name="KSOTemplateDocerSaveRecord">
    <vt:lpwstr>eyJoZGlkIjoiOWU2ZDdlYjAwNmRkMWQ1ZmFlMTAwNGI4MTJiOTNlZDIiLCJ1c2VySWQiOiIxNzYzODEyODI4In0=</vt:lpwstr>
  </property>
</Properties>
</file>