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7BBD2">
      <w:pPr>
        <w:pStyle w:val="3"/>
        <w:widowControl/>
        <w:snapToGrid w:val="0"/>
        <w:spacing w:before="0" w:after="0" w:line="360" w:lineRule="auto"/>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采购需求及技术规格要求</w:t>
      </w:r>
    </w:p>
    <w:p w14:paraId="22DD3D16">
      <w:pPr>
        <w:adjustRightInd w:val="0"/>
        <w:snapToGrid w:val="0"/>
        <w:spacing w:before="120" w:beforeLines="50"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w:t>
      </w:r>
      <w:r>
        <w:rPr>
          <w:b/>
          <w:color w:val="000000" w:themeColor="text1"/>
          <w:sz w:val="24"/>
          <w:highlight w:val="none"/>
          <w14:textFill>
            <w14:solidFill>
              <w14:schemeClr w14:val="tx1"/>
            </w14:solidFill>
          </w14:textFill>
        </w:rPr>
        <w:t>货物需求一览表</w:t>
      </w:r>
    </w:p>
    <w:tbl>
      <w:tblPr>
        <w:tblStyle w:val="4"/>
        <w:tblW w:w="7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378"/>
        <w:gridCol w:w="1239"/>
        <w:gridCol w:w="2021"/>
      </w:tblGrid>
      <w:tr w14:paraId="7FE1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vAlign w:val="center"/>
          </w:tcPr>
          <w:p w14:paraId="1C7D27A5">
            <w:pPr>
              <w:adjustRightInd w:val="0"/>
              <w:snapToGrid w:val="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3378" w:type="dxa"/>
            <w:vAlign w:val="center"/>
          </w:tcPr>
          <w:p w14:paraId="0866B6B1">
            <w:pPr>
              <w:adjustRightInd w:val="0"/>
              <w:snapToGrid w:val="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1239" w:type="dxa"/>
            <w:vAlign w:val="center"/>
          </w:tcPr>
          <w:p w14:paraId="677B5E4B">
            <w:pPr>
              <w:adjustRightInd w:val="0"/>
              <w:snapToGrid w:val="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2021" w:type="dxa"/>
            <w:vAlign w:val="center"/>
          </w:tcPr>
          <w:p w14:paraId="02DD53B8">
            <w:pPr>
              <w:adjustRightInd w:val="0"/>
              <w:snapToGrid w:val="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交货期</w:t>
            </w:r>
          </w:p>
        </w:tc>
      </w:tr>
      <w:tr w14:paraId="207C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04" w:type="dxa"/>
            <w:vAlign w:val="center"/>
          </w:tcPr>
          <w:p w14:paraId="041DAC22">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3378" w:type="dxa"/>
            <w:vAlign w:val="center"/>
          </w:tcPr>
          <w:p w14:paraId="01615146">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超大型低温测试冷屏</w:t>
            </w:r>
          </w:p>
        </w:tc>
        <w:tc>
          <w:tcPr>
            <w:tcW w:w="1239" w:type="dxa"/>
            <w:vAlign w:val="center"/>
          </w:tcPr>
          <w:p w14:paraId="0D779165">
            <w:pPr>
              <w:adjustRightInd w:val="0"/>
              <w:snapToGri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2021" w:type="dxa"/>
            <w:vAlign w:val="center"/>
          </w:tcPr>
          <w:p w14:paraId="3F11948D">
            <w:pPr>
              <w:adjustRightInd w:val="0"/>
              <w:snapToGrid w:val="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合同签订后60</w:t>
            </w:r>
            <w:r>
              <w:rPr>
                <w:color w:val="000000" w:themeColor="text1"/>
                <w:szCs w:val="21"/>
                <w:highlight w:val="none"/>
                <w14:textFill>
                  <w14:solidFill>
                    <w14:schemeClr w14:val="tx1"/>
                  </w14:solidFill>
                </w14:textFill>
              </w:rPr>
              <w:t>天</w:t>
            </w:r>
            <w:r>
              <w:rPr>
                <w:rFonts w:hint="eastAsia"/>
                <w:color w:val="000000" w:themeColor="text1"/>
                <w:szCs w:val="21"/>
                <w:highlight w:val="none"/>
                <w14:textFill>
                  <w14:solidFill>
                    <w14:schemeClr w14:val="tx1"/>
                  </w14:solidFill>
                </w14:textFill>
              </w:rPr>
              <w:t>内</w:t>
            </w:r>
          </w:p>
        </w:tc>
      </w:tr>
    </w:tbl>
    <w:p w14:paraId="6E097B61">
      <w:pPr>
        <w:adjustRightInd w:val="0"/>
        <w:snapToGrid w:val="0"/>
        <w:spacing w:before="120" w:beforeLines="50" w:line="360" w:lineRule="auto"/>
        <w:rPr>
          <w:b/>
          <w:color w:val="000000" w:themeColor="text1"/>
          <w:sz w:val="24"/>
          <w:highlight w:val="none"/>
          <w14:textFill>
            <w14:solidFill>
              <w14:schemeClr w14:val="tx1"/>
            </w14:solidFill>
          </w14:textFill>
        </w:rPr>
      </w:pPr>
      <w:bookmarkStart w:id="0" w:name="_Toc509153917"/>
      <w:bookmarkStart w:id="1" w:name="_Toc12010815"/>
      <w:bookmarkStart w:id="2" w:name="_Toc257021215"/>
      <w:bookmarkStart w:id="3" w:name="_Toc532807472"/>
      <w:bookmarkStart w:id="4" w:name="_Toc12010788"/>
      <w:bookmarkStart w:id="5" w:name="_Toc30409514"/>
      <w:r>
        <w:rPr>
          <w:b/>
          <w:color w:val="000000" w:themeColor="text1"/>
          <w:sz w:val="24"/>
          <w:highlight w:val="none"/>
          <w14:textFill>
            <w14:solidFill>
              <w14:schemeClr w14:val="tx1"/>
            </w14:solidFill>
          </w14:textFill>
        </w:rPr>
        <w:t>2</w:t>
      </w:r>
      <w:r>
        <w:rPr>
          <w:rFonts w:hint="eastAsia"/>
          <w:b/>
          <w:color w:val="000000" w:themeColor="text1"/>
          <w:sz w:val="24"/>
          <w:highlight w:val="none"/>
          <w14:textFill>
            <w14:solidFill>
              <w14:schemeClr w14:val="tx1"/>
            </w14:solidFill>
          </w14:textFill>
        </w:rPr>
        <w:t>、</w:t>
      </w:r>
      <w:r>
        <w:rPr>
          <w:b/>
          <w:color w:val="000000" w:themeColor="text1"/>
          <w:sz w:val="24"/>
          <w:highlight w:val="none"/>
          <w14:textFill>
            <w14:solidFill>
              <w14:schemeClr w14:val="tx1"/>
            </w14:solidFill>
          </w14:textFill>
        </w:rPr>
        <w:t>工程技术要求</w:t>
      </w:r>
      <w:bookmarkEnd w:id="0"/>
      <w:bookmarkEnd w:id="1"/>
      <w:bookmarkEnd w:id="2"/>
      <w:bookmarkEnd w:id="3"/>
      <w:bookmarkEnd w:id="4"/>
      <w:bookmarkEnd w:id="5"/>
    </w:p>
    <w:p w14:paraId="7CCF20C3">
      <w:pPr>
        <w:adjustRightInd w:val="0"/>
        <w:snapToGrid w:val="0"/>
        <w:spacing w:before="120" w:beforeLines="50"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2.</w:t>
      </w:r>
      <w:r>
        <w:rPr>
          <w:rFonts w:hint="eastAsia"/>
          <w:b/>
          <w:color w:val="000000" w:themeColor="text1"/>
          <w:sz w:val="24"/>
          <w:highlight w:val="none"/>
          <w14:textFill>
            <w14:solidFill>
              <w14:schemeClr w14:val="tx1"/>
            </w14:solidFill>
          </w14:textFill>
        </w:rPr>
        <w:t>1、</w:t>
      </w:r>
      <w:r>
        <w:rPr>
          <w:b/>
          <w:color w:val="000000" w:themeColor="text1"/>
          <w:sz w:val="24"/>
          <w:highlight w:val="none"/>
          <w14:textFill>
            <w14:solidFill>
              <w14:schemeClr w14:val="tx1"/>
            </w14:solidFill>
          </w14:textFill>
        </w:rPr>
        <w:t>主要用途及功能</w:t>
      </w:r>
    </w:p>
    <w:p w14:paraId="3128C1AA">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低温冷屏作为测试杜瓦主要内置部件之一。对于磁体性能研究平台，测试磁体使用迫流氦进行冷却。为了有效减小测试杜瓦内表面对测试件的热辐射，提高低温系统冷量利用效率，确保测试线圈温度能够保持在所需要的温区内，一般在测试线圈与杜瓦之间设置冷屏。冷屏一般采用液氮或者冷氦气冷却，冷屏制造材料大多选用不锈钢、铜、等金属，常见的管板冷屏在表面设置材料相同或不同的冷却管道，为了保证低温测试工作的正常进行，冷屏不仅结构上满足强度要求，而且也要控制冷屏漏热在可接受范围。</w:t>
      </w:r>
    </w:p>
    <w:p w14:paraId="039A7519">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目前测试杜瓦尺寸为</w:t>
      </w:r>
      <w:r>
        <w:rPr>
          <w:color w:val="000000" w:themeColor="text1"/>
          <w:highlight w:val="none"/>
          <w14:textFill>
            <w14:solidFill>
              <w14:schemeClr w14:val="tx1"/>
            </w14:solidFill>
          </w14:textFill>
        </w:rPr>
        <w:t>Φ</w:t>
      </w:r>
      <w:r>
        <w:rPr>
          <w:rFonts w:hint="eastAsia"/>
          <w:color w:val="000000" w:themeColor="text1"/>
          <w:highlight w:val="none"/>
          <w14:textFill>
            <w14:solidFill>
              <w14:schemeClr w14:val="tx1"/>
            </w14:solidFill>
          </w14:textFill>
        </w:rPr>
        <w:t>6.5m×9.2m，具备特定大型磁体测试空间，为了提高测试杜瓦的通用性，依据现有直径、本体结构强度和下一代聚变堆尺寸参数（如BEST TF磁体），增加筒体直段（不低于6.5m），以开展未来大型超导磁体性能测试。为保证后期测试，也需要增加相应冷屏，冷屏参数如下所示。</w:t>
      </w:r>
    </w:p>
    <w:p w14:paraId="578AE77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表1 低温冷屏主要参数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2910"/>
      </w:tblGrid>
      <w:tr w14:paraId="7A0A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06DFBB72">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内径（</w:t>
            </w:r>
            <w:r>
              <w:rPr>
                <w:color w:val="000000" w:themeColor="text1"/>
                <w:highlight w:val="none"/>
                <w14:textFill>
                  <w14:solidFill>
                    <w14:schemeClr w14:val="tx1"/>
                  </w14:solidFill>
                </w14:textFill>
              </w:rPr>
              <w:t>mm</w:t>
            </w:r>
            <w:r>
              <w:rPr>
                <w:rFonts w:hint="eastAsia"/>
                <w:color w:val="000000" w:themeColor="text1"/>
                <w:highlight w:val="none"/>
                <w14:textFill>
                  <w14:solidFill>
                    <w14:schemeClr w14:val="tx1"/>
                  </w14:solidFill>
                </w14:textFill>
              </w:rPr>
              <w:t>）</w:t>
            </w:r>
          </w:p>
        </w:tc>
        <w:tc>
          <w:tcPr>
            <w:tcW w:w="2910" w:type="dxa"/>
            <w:shd w:val="clear" w:color="auto" w:fill="FFFFFF"/>
            <w:vAlign w:val="center"/>
          </w:tcPr>
          <w:p w14:paraId="5026C2C1">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不低于6000</w:t>
            </w:r>
          </w:p>
        </w:tc>
      </w:tr>
      <w:tr w14:paraId="338C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6" w:type="dxa"/>
            <w:shd w:val="clear" w:color="auto" w:fill="FFFFFF"/>
            <w:vAlign w:val="center"/>
          </w:tcPr>
          <w:p w14:paraId="76FC3D08">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总高度（</w:t>
            </w:r>
            <w:r>
              <w:rPr>
                <w:color w:val="000000" w:themeColor="text1"/>
                <w:highlight w:val="none"/>
                <w14:textFill>
                  <w14:solidFill>
                    <w14:schemeClr w14:val="tx1"/>
                  </w14:solidFill>
                </w14:textFill>
              </w:rPr>
              <w:t>m</w:t>
            </w:r>
            <w:r>
              <w:rPr>
                <w:rFonts w:hint="eastAsia"/>
                <w:color w:val="000000" w:themeColor="text1"/>
                <w:highlight w:val="none"/>
                <w14:textFill>
                  <w14:solidFill>
                    <w14:schemeClr w14:val="tx1"/>
                  </w14:solidFill>
                </w14:textFill>
              </w:rPr>
              <w:t>）</w:t>
            </w:r>
          </w:p>
        </w:tc>
        <w:tc>
          <w:tcPr>
            <w:tcW w:w="2910" w:type="dxa"/>
            <w:shd w:val="clear" w:color="auto" w:fill="FFFFFF"/>
            <w:vAlign w:val="center"/>
          </w:tcPr>
          <w:p w14:paraId="45BE609B">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13000</w:t>
            </w:r>
          </w:p>
        </w:tc>
      </w:tr>
      <w:tr w14:paraId="6A4B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3FB33C2B">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结构形式</w:t>
            </w:r>
          </w:p>
        </w:tc>
        <w:tc>
          <w:tcPr>
            <w:tcW w:w="2910" w:type="dxa"/>
            <w:shd w:val="clear" w:color="auto" w:fill="FFFFFF"/>
            <w:vAlign w:val="center"/>
          </w:tcPr>
          <w:p w14:paraId="5A181E34">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不锈钢骨架式+冷屏壁板</w:t>
            </w:r>
          </w:p>
        </w:tc>
      </w:tr>
      <w:tr w14:paraId="6DBB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6FDC50AE">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壁板结构</w:t>
            </w:r>
          </w:p>
        </w:tc>
        <w:tc>
          <w:tcPr>
            <w:tcW w:w="2910" w:type="dxa"/>
            <w:shd w:val="clear" w:color="auto" w:fill="FFFFFF"/>
            <w:vAlign w:val="center"/>
          </w:tcPr>
          <w:p w14:paraId="72101327">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管板式/夹层式</w:t>
            </w:r>
          </w:p>
        </w:tc>
      </w:tr>
      <w:tr w14:paraId="268C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53119AA4">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冷却介质</w:t>
            </w:r>
          </w:p>
        </w:tc>
        <w:tc>
          <w:tcPr>
            <w:tcW w:w="2910" w:type="dxa"/>
            <w:shd w:val="clear" w:color="auto" w:fill="FFFFFF"/>
            <w:vAlign w:val="center"/>
          </w:tcPr>
          <w:p w14:paraId="65667465">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液氮</w:t>
            </w:r>
          </w:p>
        </w:tc>
      </w:tr>
      <w:tr w14:paraId="0417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6C804845">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冷屏框架绝缘方式</w:t>
            </w:r>
          </w:p>
        </w:tc>
        <w:tc>
          <w:tcPr>
            <w:tcW w:w="2910" w:type="dxa"/>
            <w:shd w:val="clear" w:color="auto" w:fill="FFFFFF"/>
            <w:vAlign w:val="center"/>
          </w:tcPr>
          <w:p w14:paraId="10616978">
            <w:pPr>
              <w:pStyle w:val="6"/>
              <w:widowControl/>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G10垫片</w:t>
            </w:r>
          </w:p>
        </w:tc>
      </w:tr>
      <w:tr w14:paraId="346D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20C80CDE">
            <w:pPr>
              <w:pStyle w:val="6"/>
              <w:widowControl/>
              <w:rPr>
                <w:color w:val="000000" w:themeColor="text1"/>
                <w:kern w:val="0"/>
                <w:sz w:val="24"/>
                <w:highlight w:val="none"/>
                <w:lang w:eastAsia="en-US"/>
                <w14:textFill>
                  <w14:solidFill>
                    <w14:schemeClr w14:val="tx1"/>
                  </w14:solidFill>
                </w14:textFill>
              </w:rPr>
            </w:pPr>
            <w:r>
              <w:rPr>
                <w:rFonts w:hint="eastAsia"/>
                <w:color w:val="000000" w:themeColor="text1"/>
                <w:highlight w:val="none"/>
                <w14:textFill>
                  <w14:solidFill>
                    <w14:schemeClr w14:val="tx1"/>
                  </w14:solidFill>
                </w14:textFill>
              </w:rPr>
              <w:t>绝缘子个数</w:t>
            </w:r>
          </w:p>
        </w:tc>
        <w:tc>
          <w:tcPr>
            <w:tcW w:w="2910" w:type="dxa"/>
            <w:shd w:val="clear" w:color="auto" w:fill="FFFFFF"/>
            <w:vAlign w:val="center"/>
          </w:tcPr>
          <w:p w14:paraId="35A274F2">
            <w:pPr>
              <w:pStyle w:val="6"/>
              <w:widowControl/>
              <w:rPr>
                <w:color w:val="000000" w:themeColor="text1"/>
                <w:kern w:val="0"/>
                <w:sz w:val="24"/>
                <w:highlight w:val="none"/>
                <w:lang w:eastAsia="en-US"/>
                <w14:textFill>
                  <w14:solidFill>
                    <w14:schemeClr w14:val="tx1"/>
                  </w14:solidFill>
                </w14:textFill>
              </w:rPr>
            </w:pPr>
            <w:r>
              <w:rPr>
                <w:rFonts w:hint="eastAsia"/>
                <w:color w:val="000000" w:themeColor="text1"/>
                <w:highlight w:val="none"/>
                <w14:textFill>
                  <w14:solidFill>
                    <w14:schemeClr w14:val="tx1"/>
                  </w14:solidFill>
                </w14:textFill>
              </w:rPr>
              <w:t>不少于</w:t>
            </w:r>
            <w:r>
              <w:rPr>
                <w:color w:val="000000" w:themeColor="text1"/>
                <w:highlight w:val="none"/>
                <w14:textFill>
                  <w14:solidFill>
                    <w14:schemeClr w14:val="tx1"/>
                  </w14:solidFill>
                </w14:textFill>
              </w:rPr>
              <w:t>20</w:t>
            </w:r>
          </w:p>
        </w:tc>
      </w:tr>
      <w:tr w14:paraId="24E4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shd w:val="clear" w:color="auto" w:fill="FFFFFF"/>
            <w:vAlign w:val="center"/>
          </w:tcPr>
          <w:p w14:paraId="5ABD661C">
            <w:pPr>
              <w:pStyle w:val="6"/>
              <w:widowControl/>
              <w:rPr>
                <w:color w:val="000000" w:themeColor="text1"/>
                <w:kern w:val="0"/>
                <w:sz w:val="24"/>
                <w:highlight w:val="none"/>
                <w:lang w:eastAsia="en-US"/>
                <w14:textFill>
                  <w14:solidFill>
                    <w14:schemeClr w14:val="tx1"/>
                  </w14:solidFill>
                </w14:textFill>
              </w:rPr>
            </w:pPr>
            <w:r>
              <w:rPr>
                <w:rFonts w:hint="eastAsia"/>
                <w:color w:val="000000" w:themeColor="text1"/>
                <w:highlight w:val="none"/>
                <w14:textFill>
                  <w14:solidFill>
                    <w14:schemeClr w14:val="tx1"/>
                  </w14:solidFill>
                </w14:textFill>
              </w:rPr>
              <w:t>多层绝热</w:t>
            </w:r>
          </w:p>
        </w:tc>
        <w:tc>
          <w:tcPr>
            <w:tcW w:w="2910" w:type="dxa"/>
            <w:shd w:val="clear" w:color="auto" w:fill="FFFFFF"/>
            <w:vAlign w:val="center"/>
          </w:tcPr>
          <w:p w14:paraId="2F03190A">
            <w:pPr>
              <w:pStyle w:val="6"/>
              <w:widowControl/>
              <w:rPr>
                <w:color w:val="000000" w:themeColor="text1"/>
                <w:kern w:val="0"/>
                <w:sz w:val="24"/>
                <w:highlight w:val="none"/>
                <w:lang w:eastAsia="en-US"/>
                <w14:textFill>
                  <w14:solidFill>
                    <w14:schemeClr w14:val="tx1"/>
                  </w14:solidFill>
                </w14:textFill>
              </w:rPr>
            </w:pP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层</w:t>
            </w:r>
          </w:p>
        </w:tc>
      </w:tr>
    </w:tbl>
    <w:p w14:paraId="6721CFA6">
      <w:pPr>
        <w:adjustRightInd w:val="0"/>
        <w:snapToGrid w:val="0"/>
        <w:spacing w:before="120" w:beforeLines="50"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2.2、技术参数要求</w:t>
      </w:r>
    </w:p>
    <w:p w14:paraId="17280307">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lang w:bidi="ar"/>
          <w14:textFill>
            <w14:solidFill>
              <w14:schemeClr w14:val="tx1"/>
            </w14:solidFill>
          </w14:textFill>
        </w:rPr>
        <w:t>项目</w:t>
      </w:r>
      <w:r>
        <w:rPr>
          <w:color w:val="000000" w:themeColor="text1"/>
          <w:szCs w:val="21"/>
          <w:highlight w:val="none"/>
          <w:lang w:bidi="ar"/>
          <w14:textFill>
            <w14:solidFill>
              <w14:schemeClr w14:val="tx1"/>
            </w14:solidFill>
          </w14:textFill>
        </w:rPr>
        <w:t>所提出的技术要求并不完全包括国家规范和标准的全部要求，投标人除必须满足本文中所提出的各项要求外，还应满足相应的国家及行业标准、规范和其他相关标准、规范要求。关于大型低温冷屏研制项目，供应商需根据采购合同与技术协议的设计输入提交项目实施进度方案、设计及分析方案、系统3D设计图及工程图、加工或购置系统所需的零部件及设备，同时提供系统设备工艺布置、现场安装及运行调试，确保系统实现所需的全部功能。</w:t>
      </w:r>
    </w:p>
    <w:p w14:paraId="7508D059">
      <w:pPr>
        <w:adjustRightInd w:val="0"/>
        <w:snapToGrid w:val="0"/>
        <w:spacing w:before="120" w:beforeLines="50" w:line="360" w:lineRule="auto"/>
        <w:rPr>
          <w:b/>
          <w:color w:val="000000" w:themeColor="text1"/>
          <w:szCs w:val="21"/>
          <w:highlight w:val="none"/>
          <w14:textFill>
            <w14:solidFill>
              <w14:schemeClr w14:val="tx1"/>
            </w14:solidFill>
          </w14:textFill>
        </w:rPr>
      </w:pPr>
      <w:bookmarkStart w:id="6" w:name="_Toc21724"/>
      <w:r>
        <w:rPr>
          <w:rFonts w:hint="eastAsia"/>
          <w:b/>
          <w:color w:val="000000" w:themeColor="text1"/>
          <w:szCs w:val="21"/>
          <w:highlight w:val="none"/>
          <w14:textFill>
            <w14:solidFill>
              <w14:schemeClr w14:val="tx1"/>
            </w14:solidFill>
          </w14:textFill>
        </w:rPr>
        <w:t>2.2.1 主要设计规范及标准</w:t>
      </w:r>
      <w:bookmarkEnd w:id="6"/>
    </w:p>
    <w:p w14:paraId="6E2DD7FF">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 150.1~</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150.4 </w:t>
      </w:r>
      <w:r>
        <w:rPr>
          <w:rFonts w:hint="eastAsia"/>
          <w:color w:val="000000" w:themeColor="text1"/>
          <w:highlight w:val="none"/>
          <w14:textFill>
            <w14:solidFill>
              <w14:schemeClr w14:val="tx1"/>
            </w14:solidFill>
          </w14:textFill>
        </w:rPr>
        <w:t>压力容器设计标准</w:t>
      </w:r>
    </w:p>
    <w:p w14:paraId="6FC4409A">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JB-4732 </w:t>
      </w:r>
      <w:r>
        <w:rPr>
          <w:rFonts w:hint="eastAsia"/>
          <w:color w:val="000000" w:themeColor="text1"/>
          <w:highlight w:val="none"/>
          <w14:textFill>
            <w14:solidFill>
              <w14:schemeClr w14:val="tx1"/>
            </w14:solidFill>
          </w14:textFill>
        </w:rPr>
        <w:t>钢制压力容器分析设计</w:t>
      </w:r>
    </w:p>
    <w:p w14:paraId="56EF5499">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GB/T 36176 真空技术 氦质谱真空检漏方法</w:t>
      </w:r>
    </w:p>
    <w:p w14:paraId="368D46C7">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GB/T 31480 深冷容器用高真空多层绝热材料</w:t>
      </w:r>
    </w:p>
    <w:p w14:paraId="64E107EC">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GB/T 12665 真空绝热低温管</w:t>
      </w:r>
    </w:p>
    <w:p w14:paraId="27F9DB74">
      <w:pPr>
        <w:adjustRightInd w:val="0"/>
        <w:snapToGrid w:val="0"/>
        <w:spacing w:before="120" w:beforeLines="50" w:line="360" w:lineRule="auto"/>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2.2.2 总体要求</w:t>
      </w:r>
    </w:p>
    <w:p w14:paraId="3764A824">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1）冷屏板材料主要选择无磁不锈钢。</w:t>
      </w:r>
    </w:p>
    <w:p w14:paraId="2B932CFE">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2）低温冷屏采用分段式结构设计，通过螺栓进行固定。</w:t>
      </w:r>
    </w:p>
    <w:p w14:paraId="4831E3CA">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3）低温冷屏采用框架+屏板拼接结构设计，屏板采用管板式/夹层式，采用高压氦气进行冷却，工作温度小于100K。</w:t>
      </w:r>
    </w:p>
    <w:p w14:paraId="3CFC9C37">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4）</w:t>
      </w:r>
      <w:r>
        <w:rPr>
          <w:color w:val="000000" w:themeColor="text1"/>
          <w:szCs w:val="21"/>
          <w:highlight w:val="none"/>
          <w:lang w:bidi="ar"/>
          <w14:textFill>
            <w14:solidFill>
              <w14:schemeClr w14:val="tx1"/>
            </w14:solidFill>
          </w14:textFill>
        </w:rPr>
        <w:t>冷屏框架需有足够机械强度，能够承担冷屏重量</w:t>
      </w:r>
      <w:r>
        <w:rPr>
          <w:rFonts w:hint="eastAsia"/>
          <w:color w:val="000000" w:themeColor="text1"/>
          <w:szCs w:val="21"/>
          <w:highlight w:val="none"/>
          <w:lang w:bidi="ar"/>
          <w14:textFill>
            <w14:solidFill>
              <w14:schemeClr w14:val="tx1"/>
            </w14:solidFill>
          </w14:textFill>
        </w:rPr>
        <w:t>。</w:t>
      </w:r>
    </w:p>
    <w:p w14:paraId="4201D008">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5）</w:t>
      </w:r>
      <w:r>
        <w:rPr>
          <w:color w:val="000000" w:themeColor="text1"/>
          <w:szCs w:val="21"/>
          <w:highlight w:val="none"/>
          <w:lang w:bidi="ar"/>
          <w14:textFill>
            <w14:solidFill>
              <w14:schemeClr w14:val="tx1"/>
            </w14:solidFill>
          </w14:textFill>
        </w:rPr>
        <w:t>冷屏设计制造时，需考虑传输线冷屏、低温管道与其关系，预留足够的空间进行装配</w:t>
      </w:r>
      <w:r>
        <w:rPr>
          <w:rFonts w:hint="eastAsia"/>
          <w:color w:val="000000" w:themeColor="text1"/>
          <w:szCs w:val="21"/>
          <w:highlight w:val="none"/>
          <w:lang w:bidi="ar"/>
          <w14:textFill>
            <w14:solidFill>
              <w14:schemeClr w14:val="tx1"/>
            </w14:solidFill>
          </w14:textFill>
        </w:rPr>
        <w:t>。</w:t>
      </w:r>
    </w:p>
    <w:p w14:paraId="5A96ABE1">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6）子冷屏板拼接处须具备柔性位移补偿功能，位移补偿能力≥10mm，拼接结构连接处须绝缘处理。</w:t>
      </w:r>
    </w:p>
    <w:p w14:paraId="614CC2EF">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7）屏板结构设计中须预留出磁体支撑通道，磁体支撑结构及位置由甲方提供。</w:t>
      </w:r>
    </w:p>
    <w:p w14:paraId="58DF2FC0">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8）低温管道根据工程实际需要增加高压波纹管或者管道柔性支撑结构，避免低温管路低温冷缩变形产生的结构性负载。</w:t>
      </w:r>
    </w:p>
    <w:p w14:paraId="0537CC4B">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9）为了避免产生较大涡流，冷屏每个部分间采用绝缘间隔，冷屏壁板通过螺栓或其它固定方式在安装框架上，中间增加G10材料的垫板。</w:t>
      </w:r>
    </w:p>
    <w:p w14:paraId="48A5102B">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10）每个流道进出口需放置绝缘子，减少感应涡流产生区域面积，降低冷屏的感应电磁力，绝缘子数量不低于16个。</w:t>
      </w:r>
    </w:p>
    <w:p w14:paraId="7F6A20ED">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11）冷屏及支撑需包裹多层绝缘材料，材料层数不得低于30层。</w:t>
      </w:r>
    </w:p>
    <w:p w14:paraId="257E261A">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12）对于冷屏设计进行有限元分析验证，主要分析载荷有：力学载荷、热载荷、电磁载荷等，相关分析工况的输入条件由甲方提供。</w:t>
      </w:r>
    </w:p>
    <w:p w14:paraId="73886C9D">
      <w:pPr>
        <w:spacing w:line="360" w:lineRule="auto"/>
        <w:ind w:firstLine="420" w:firstLineChars="200"/>
        <w:rPr>
          <w:color w:val="000000" w:themeColor="text1"/>
          <w:szCs w:val="21"/>
          <w:highlight w:val="none"/>
          <w:lang w:bidi="ar"/>
          <w14:textFill>
            <w14:solidFill>
              <w14:schemeClr w14:val="tx1"/>
            </w14:solidFill>
          </w14:textFill>
        </w:rPr>
      </w:pPr>
      <w:r>
        <w:rPr>
          <w:rFonts w:hint="eastAsia"/>
          <w:color w:val="000000" w:themeColor="text1"/>
          <w:szCs w:val="21"/>
          <w:highlight w:val="none"/>
          <w:lang w:bidi="ar"/>
          <w14:textFill>
            <w14:solidFill>
              <w14:schemeClr w14:val="tx1"/>
            </w14:solidFill>
          </w14:textFill>
        </w:rPr>
        <w:t>13）乙方需进行现场考察，并给出制造、运输、现场安装方案，方案需得到甲方同意。</w:t>
      </w:r>
    </w:p>
    <w:p w14:paraId="53BBB394">
      <w:pPr>
        <w:adjustRightInd w:val="0"/>
        <w:snapToGrid w:val="0"/>
        <w:spacing w:before="120" w:beforeLines="50" w:line="360" w:lineRule="auto"/>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2.2.3 制造要求</w:t>
      </w:r>
    </w:p>
    <w:p w14:paraId="62E50802">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冷屏整体结构尺寸分别不低于Φ6.0m×13m，冷屏距离真空杜瓦内壁间距不小于150mm。</w:t>
      </w:r>
    </w:p>
    <w:p w14:paraId="07712D5D">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冷屏壁板、焊缝、管路、柔性短接等不锈钢零部件的磁导率≤1.</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，如有超出，需和甲方联系。</w:t>
      </w:r>
    </w:p>
    <w:p w14:paraId="1BE60D32">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管板式屏体低温管路尺寸不低于Φ22mm×2mm，管道长度不超过100 m/路，管板接触截面积不低于40mm</w:t>
      </w:r>
      <w:r>
        <w:rPr>
          <w:color w:val="000000" w:themeColor="text1"/>
          <w:szCs w:val="21"/>
          <w:highlight w:val="none"/>
          <w:vertAlign w:val="superscript"/>
          <w14:textFill>
            <w14:solidFill>
              <w14:schemeClr w14:val="tx1"/>
            </w14:solidFill>
          </w14:textFill>
        </w:rPr>
        <w:t>2</w:t>
      </w:r>
      <w:r>
        <w:rPr>
          <w:color w:val="000000" w:themeColor="text1"/>
          <w:szCs w:val="21"/>
          <w:highlight w:val="none"/>
          <w14:textFill>
            <w14:solidFill>
              <w14:schemeClr w14:val="tx1"/>
            </w14:solidFill>
          </w14:textFill>
        </w:rPr>
        <w:t>。</w:t>
      </w:r>
    </w:p>
    <w:p w14:paraId="63950AC8">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夹层式冷屏，采用双层不锈钢薄板叠加而成，点焊位置交叉排列，焊点位置间距≥50mm，焊点直径≥10mm，内部通道高度不低于</w:t>
      </w: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mm。</w:t>
      </w:r>
    </w:p>
    <w:p w14:paraId="67CB8FC4">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管道焊接采用对接焊接，平面度≤0.1mm/m，同轴度误差≤0.05mm。</w:t>
      </w:r>
    </w:p>
    <w:p w14:paraId="07574EBD">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焊接完成后，焊缝不得有咬边、裂纹、气孔、夹渣等焊接缺陷。可进行渗透和射线检测的焊缝。标准NB/T47013.2二级要求(不允许出现裂纹、未溶合和未焊透)和JB/T 47013.5一级要求（线性缺陷不允许，圆形缺陷d≤2，且在平定框(35×100)≤1个）,若使用其他无损检测方法，需和甲方进行协商。</w:t>
      </w:r>
    </w:p>
    <w:p w14:paraId="3B7457CA">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冷却管及其它连接金属连接管，进行正压—真空氦质谱检漏，内压</w:t>
      </w:r>
      <w:r>
        <w:rPr>
          <w:rFonts w:hint="eastAsia"/>
          <w:color w:val="000000" w:themeColor="text1"/>
          <w:szCs w:val="21"/>
          <w:highlight w:val="none"/>
          <w14:textFill>
            <w14:solidFill>
              <w14:schemeClr w14:val="tx1"/>
            </w14:solidFill>
          </w14:textFill>
        </w:rPr>
        <w:t>不低于1</w:t>
      </w:r>
      <w:r>
        <w:rPr>
          <w:color w:val="000000" w:themeColor="text1"/>
          <w:szCs w:val="21"/>
          <w:highlight w:val="none"/>
          <w14:textFill>
            <w14:solidFill>
              <w14:schemeClr w14:val="tx1"/>
            </w14:solidFill>
          </w14:textFill>
        </w:rPr>
        <w:t>MPa，漏率小于1×10</w:t>
      </w:r>
      <w:r>
        <w:rPr>
          <w:color w:val="000000" w:themeColor="text1"/>
          <w:szCs w:val="21"/>
          <w:highlight w:val="none"/>
          <w:vertAlign w:val="superscript"/>
          <w14:textFill>
            <w14:solidFill>
              <w14:schemeClr w14:val="tx1"/>
            </w14:solidFill>
          </w14:textFill>
        </w:rPr>
        <w:t>-9</w:t>
      </w:r>
      <w:r>
        <w:rPr>
          <w:color w:val="000000" w:themeColor="text1"/>
          <w:szCs w:val="21"/>
          <w:highlight w:val="none"/>
          <w14:textFill>
            <w14:solidFill>
              <w14:schemeClr w14:val="tx1"/>
            </w14:solidFill>
          </w14:textFill>
        </w:rPr>
        <w:t>Pa.m</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 xml:space="preserve">/s。 </w:t>
      </w:r>
    </w:p>
    <w:p w14:paraId="7958C3E2">
      <w:pPr>
        <w:pStyle w:val="7"/>
        <w:widowControl/>
        <w:numPr>
          <w:ilvl w:val="0"/>
          <w:numId w:val="1"/>
        </w:numPr>
        <w:spacing w:line="360" w:lineRule="auto"/>
        <w:ind w:left="0"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完成的单个冷屏板，进行至少1次300K-77K冷热循环测试，充入高压流体进行</w:t>
      </w:r>
      <w:r>
        <w:rPr>
          <w:rFonts w:hint="eastAsia"/>
          <w:color w:val="000000" w:themeColor="text1"/>
          <w:szCs w:val="21"/>
          <w:highlight w:val="none"/>
          <w14:textFill>
            <w14:solidFill>
              <w14:schemeClr w14:val="tx1"/>
            </w14:solidFill>
          </w14:textFill>
        </w:rPr>
        <w:t>不低于1</w:t>
      </w:r>
      <w:r>
        <w:rPr>
          <w:color w:val="000000" w:themeColor="text1"/>
          <w:szCs w:val="21"/>
          <w:highlight w:val="none"/>
          <w14:textFill>
            <w14:solidFill>
              <w14:schemeClr w14:val="tx1"/>
            </w14:solidFill>
          </w14:textFill>
        </w:rPr>
        <w:t>MPa耐压测试，冷屏无压力下降，完成后进行正压—真空氦质谱检漏，内压</w:t>
      </w:r>
      <w:r>
        <w:rPr>
          <w:rFonts w:hint="eastAsia"/>
          <w:color w:val="000000" w:themeColor="text1"/>
          <w:szCs w:val="21"/>
          <w:highlight w:val="none"/>
          <w14:textFill>
            <w14:solidFill>
              <w14:schemeClr w14:val="tx1"/>
            </w14:solidFill>
          </w14:textFill>
        </w:rPr>
        <w:t>不低于1</w:t>
      </w:r>
      <w:r>
        <w:rPr>
          <w:color w:val="000000" w:themeColor="text1"/>
          <w:szCs w:val="21"/>
          <w:highlight w:val="none"/>
          <w14:textFill>
            <w14:solidFill>
              <w14:schemeClr w14:val="tx1"/>
            </w14:solidFill>
          </w14:textFill>
        </w:rPr>
        <w:t>MPa，冷屏漏率≤1×10</w:t>
      </w:r>
      <w:r>
        <w:rPr>
          <w:color w:val="000000" w:themeColor="text1"/>
          <w:szCs w:val="21"/>
          <w:highlight w:val="none"/>
          <w:vertAlign w:val="superscript"/>
          <w14:textFill>
            <w14:solidFill>
              <w14:schemeClr w14:val="tx1"/>
            </w14:solidFill>
          </w14:textFill>
        </w:rPr>
        <w:t>-</w:t>
      </w:r>
      <w:r>
        <w:rPr>
          <w:rFonts w:hint="eastAsia"/>
          <w:color w:val="000000" w:themeColor="text1"/>
          <w:szCs w:val="21"/>
          <w:highlight w:val="none"/>
          <w:vertAlign w:val="superscript"/>
          <w14:textFill>
            <w14:solidFill>
              <w14:schemeClr w14:val="tx1"/>
            </w14:solidFill>
          </w14:textFill>
        </w:rPr>
        <w:t>9</w:t>
      </w:r>
      <w:r>
        <w:rPr>
          <w:color w:val="000000" w:themeColor="text1"/>
          <w:szCs w:val="21"/>
          <w:highlight w:val="none"/>
          <w14:textFill>
            <w14:solidFill>
              <w14:schemeClr w14:val="tx1"/>
            </w14:solidFill>
          </w14:textFill>
        </w:rPr>
        <w:t>Pa.m</w:t>
      </w:r>
      <w:r>
        <w:rPr>
          <w:color w:val="000000" w:themeColor="text1"/>
          <w:szCs w:val="21"/>
          <w:highlight w:val="none"/>
          <w:vertAlign w:val="superscript"/>
          <w14:textFill>
            <w14:solidFill>
              <w14:schemeClr w14:val="tx1"/>
            </w14:solidFill>
          </w14:textFill>
        </w:rPr>
        <w:t>3</w:t>
      </w:r>
      <w:r>
        <w:rPr>
          <w:color w:val="000000" w:themeColor="text1"/>
          <w:szCs w:val="21"/>
          <w:highlight w:val="none"/>
          <w14:textFill>
            <w14:solidFill>
              <w14:schemeClr w14:val="tx1"/>
            </w14:solidFill>
          </w14:textFill>
        </w:rPr>
        <w:t>/s。</w:t>
      </w:r>
      <w:r>
        <w:rPr>
          <w:rFonts w:hint="eastAsia"/>
          <w:color w:val="000000" w:themeColor="text1"/>
          <w:szCs w:val="21"/>
          <w:highlight w:val="none"/>
          <w14:textFill>
            <w14:solidFill>
              <w14:schemeClr w14:val="tx1"/>
            </w14:solidFill>
          </w14:textFill>
        </w:rPr>
        <w:t>如有泄露，泄露屏板舍弃。</w:t>
      </w:r>
    </w:p>
    <w:p w14:paraId="5D5FBDB2">
      <w:pPr>
        <w:adjustRightInd w:val="0"/>
        <w:snapToGrid w:val="0"/>
        <w:spacing w:before="120" w:beforeLines="50" w:line="360" w:lineRule="auto"/>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2.2.4 集成要求</w:t>
      </w:r>
    </w:p>
    <w:p w14:paraId="3CFD3499">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冷屏系统总装过程中螺栓连接的部位的螺栓、螺母、垫片和弹簧垫等均须为不锈钢材质。</w:t>
      </w:r>
    </w:p>
    <w:p w14:paraId="58D7B0BD">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冷屏板安装整体平面度≤10mm，冷屏的垂直面与水平面交叉处无突出、无翘起；</w:t>
      </w:r>
    </w:p>
    <w:p w14:paraId="65A436B9">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冷屏支撑与子冷屏板应垂直安装，垂直角90</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，并且支撑具备良好的柔性活动功能，无卡顿和装配间隙性晃动。</w:t>
      </w:r>
    </w:p>
    <w:p w14:paraId="67D43EE8">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相邻两块壁板安装时应由绝缘点垫片，保证绝缘</w:t>
      </w:r>
    </w:p>
    <w:p w14:paraId="547E331B">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冷屏安装准备给所用的串联管线在总装中须平整、简短，不得与冷屏及其它真空杜瓦内置部件发生干涉和接触。</w:t>
      </w:r>
    </w:p>
    <w:p w14:paraId="087B7112">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冷屏与支撑总装后，须保证所有冷屏的支撑点安装牢固、可靠，不得出现松脱、安装不到位等不良情况。</w:t>
      </w:r>
    </w:p>
    <w:p w14:paraId="02AD865A">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冷屏整体结构在安装完成后的整体结构变形≤20mm，局部变形≤30mm。</w:t>
      </w:r>
    </w:p>
    <w:p w14:paraId="5607D0C2">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提供必要的辅助安装工装，如安装平台以及吊绳吊具（与甲方协商）。</w:t>
      </w:r>
    </w:p>
    <w:p w14:paraId="04E086D0">
      <w:pPr>
        <w:pStyle w:val="7"/>
        <w:widowControl/>
        <w:numPr>
          <w:ilvl w:val="0"/>
          <w:numId w:val="2"/>
        </w:numPr>
        <w:spacing w:line="360" w:lineRule="auto"/>
        <w:ind w:left="0"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冷屏系统总装后表面清洁，无油无脂，不得有杂物。</w:t>
      </w:r>
    </w:p>
    <w:p w14:paraId="7F852353">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BCF24"/>
    <w:multiLevelType w:val="singleLevel"/>
    <w:tmpl w:val="90EBCF24"/>
    <w:lvl w:ilvl="0" w:tentative="0">
      <w:start w:val="1"/>
      <w:numFmt w:val="decimal"/>
      <w:lvlText w:val="%1)"/>
      <w:lvlJc w:val="left"/>
      <w:pPr>
        <w:ind w:left="425" w:hanging="425"/>
      </w:pPr>
      <w:rPr>
        <w:rFonts w:hint="default"/>
      </w:rPr>
    </w:lvl>
  </w:abstractNum>
  <w:abstractNum w:abstractNumId="1">
    <w:nsid w:val="33A7D2C9"/>
    <w:multiLevelType w:val="singleLevel"/>
    <w:tmpl w:val="33A7D2C9"/>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AA1A4E"/>
    <w:rsid w:val="39AA1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eastAsia="黑体"/>
      <w:sz w:val="36"/>
    </w:rPr>
  </w:style>
  <w:style w:type="paragraph" w:customStyle="1" w:styleId="6">
    <w:name w:val="图表内容"/>
    <w:basedOn w:val="1"/>
    <w:qFormat/>
    <w:uiPriority w:val="0"/>
    <w:pPr>
      <w:snapToGrid w:val="0"/>
      <w:jc w:val="center"/>
    </w:p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2026-07-30T00:49:00Z</dcterms:created>
  <dc:creator>宋方方</dc:creator>
  <cp:lastModifiedBy>宋方方</cp:lastModifiedBy>
  <dcterms:modified xsi:type="dcterms:W3CDTF">2026-07-30T00:50:02Z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6EB209BAE832405089AB34AB525FD7E9_11</vt:lpwstr>
  </property>
  <property fmtid="{D5CDD505-2E9C-101B-9397-08002B2CF9AE}" pid="4" name="KSOTemplateDocerSaveRecord">
    <vt:lpwstr>eyJoZGlkIjoiY2ZjZDI4YmRkZDY3MGZmNjNjY2JiZTFlYmI4OWM0ZWEiLCJ1c2VySWQiOiIxNzYzODEyODI4In0=</vt:lpwstr>
  </property>
</Properties>
</file>