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66B2305">
      <w:pPr>
        <w:pStyle w:val="3"/>
        <w:widowControl/>
        <w:snapToGrid w:val="0"/>
        <w:spacing w:before="0" w:after="0" w:line="360" w:lineRule="auto"/>
        <w:jc w:val="center"/>
        <w:rPr>
          <w:rFonts w:hint="eastAsia" w:ascii="宋体" w:hAnsi="宋体"/>
        </w:rPr>
      </w:pPr>
      <w:r>
        <w:rPr>
          <w:rFonts w:hint="eastAsia" w:ascii="宋体" w:hAnsi="宋体"/>
        </w:rPr>
        <w:t>采购需求及技术规格要求</w:t>
      </w:r>
    </w:p>
    <w:p w14:paraId="408A808B">
      <w:pPr>
        <w:adjustRightInd w:val="0"/>
        <w:snapToGrid w:val="0"/>
        <w:spacing w:before="120" w:beforeLines="50" w:line="288" w:lineRule="auto"/>
        <w:rPr>
          <w:b/>
          <w:sz w:val="24"/>
        </w:rPr>
      </w:pPr>
      <w:r>
        <w:rPr>
          <w:b/>
          <w:sz w:val="24"/>
        </w:rPr>
        <w:t>1、货物需求一览表</w:t>
      </w:r>
    </w:p>
    <w:p w14:paraId="519D62DD">
      <w:pPr>
        <w:widowControl/>
        <w:spacing w:before="120" w:beforeLines="50" w:after="120" w:afterLines="50" w:line="288" w:lineRule="auto"/>
        <w:ind w:firstLine="420" w:firstLineChars="200"/>
        <w:rPr>
          <w:szCs w:val="21"/>
        </w:rPr>
      </w:pPr>
      <w:r>
        <w:rPr>
          <w:rFonts w:hint="eastAsia"/>
          <w:szCs w:val="21"/>
        </w:rPr>
        <w:t>本项目拟采购</w:t>
      </w:r>
      <w:r>
        <w:rPr>
          <w:szCs w:val="21"/>
        </w:rPr>
        <w:t xml:space="preserve"> ITER</w:t>
      </w:r>
      <w:r>
        <w:rPr>
          <w:rFonts w:hint="eastAsia"/>
          <w:szCs w:val="21"/>
        </w:rPr>
        <w:t>诊断集成真空外侧预研及产品制造，具体包含针对</w:t>
      </w:r>
      <w:r>
        <w:rPr>
          <w:szCs w:val="21"/>
        </w:rPr>
        <w:t xml:space="preserve">ISS </w:t>
      </w:r>
      <w:r>
        <w:rPr>
          <w:rFonts w:hint="eastAsia"/>
          <w:szCs w:val="21"/>
        </w:rPr>
        <w:t>钢结构组件和</w:t>
      </w:r>
      <w:r>
        <w:rPr>
          <w:szCs w:val="21"/>
        </w:rPr>
        <w:t>PCSS</w:t>
      </w:r>
      <w:r>
        <w:rPr>
          <w:rFonts w:hint="eastAsia"/>
          <w:szCs w:val="21"/>
        </w:rPr>
        <w:t>组件主体钢结构的关键工艺预研、</w:t>
      </w:r>
      <w:r>
        <w:rPr>
          <w:szCs w:val="21"/>
        </w:rPr>
        <w:t>MRR</w:t>
      </w:r>
      <w:r>
        <w:rPr>
          <w:rFonts w:hint="eastAsia"/>
          <w:szCs w:val="21"/>
        </w:rPr>
        <w:t>会议评审、ISS及PCSS的生产制造、预装配及包装（适用于国际海运）等。</w:t>
      </w:r>
    </w:p>
    <w:p w14:paraId="07C33935">
      <w:pPr>
        <w:ind w:firstLine="420"/>
      </w:pPr>
      <w:r>
        <w:rPr>
          <w:rFonts w:hint="eastAsia"/>
        </w:rPr>
        <w:t>ISS区域模型及部件分级如下：</w:t>
      </w:r>
    </w:p>
    <w:p w14:paraId="14FDBBFA">
      <w:pPr>
        <w:jc w:val="center"/>
      </w:pPr>
      <w:r>
        <w:drawing>
          <wp:inline distT="0" distB="0" distL="114300" distR="114300">
            <wp:extent cx="5005705" cy="3653155"/>
            <wp:effectExtent l="0" t="0" r="8255" b="444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005705" cy="3653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23CABF">
      <w:pPr>
        <w:spacing w:before="120" w:after="120"/>
        <w:ind w:firstLine="420"/>
        <w:jc w:val="center"/>
      </w:pPr>
      <w:r>
        <w:rPr>
          <w:rFonts w:hint="eastAsia"/>
        </w:rPr>
        <w:t xml:space="preserve">Table.1 </w:t>
      </w:r>
      <w:r>
        <w:rPr>
          <w:szCs w:val="21"/>
        </w:rPr>
        <w:t xml:space="preserve">Basic components classifications of </w:t>
      </w:r>
      <w:r>
        <w:rPr>
          <w:rFonts w:hint="eastAsia"/>
          <w:szCs w:val="21"/>
        </w:rPr>
        <w:t>ISS</w:t>
      </w:r>
      <w:r>
        <w:rPr>
          <w:szCs w:val="21"/>
        </w:rPr>
        <w:t xml:space="preserve"> delivery scope</w:t>
      </w:r>
    </w:p>
    <w:tbl>
      <w:tblPr>
        <w:tblStyle w:val="4"/>
        <w:tblW w:w="5000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52"/>
        <w:gridCol w:w="1624"/>
        <w:gridCol w:w="1186"/>
        <w:gridCol w:w="1081"/>
        <w:gridCol w:w="1841"/>
        <w:gridCol w:w="2238"/>
      </w:tblGrid>
      <w:tr w14:paraId="6C19462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24" w:type="pct"/>
            <w:shd w:val="clear" w:color="auto" w:fill="D9D9D9"/>
            <w:noWrap w:val="0"/>
            <w:vAlign w:val="center"/>
          </w:tcPr>
          <w:p w14:paraId="0B8F6AC0">
            <w:pPr>
              <w:spacing w:before="120" w:after="120"/>
              <w:jc w:val="center"/>
              <w:rPr>
                <w:b/>
                <w:bCs/>
                <w:sz w:val="20"/>
                <w:szCs w:val="21"/>
              </w:rPr>
            </w:pPr>
            <w:r>
              <w:rPr>
                <w:rFonts w:hint="eastAsia"/>
                <w:b/>
                <w:bCs/>
                <w:sz w:val="20"/>
                <w:szCs w:val="21"/>
              </w:rPr>
              <w:t>序号</w:t>
            </w:r>
          </w:p>
          <w:p w14:paraId="6D405A9B">
            <w:pPr>
              <w:spacing w:before="120" w:after="120"/>
              <w:jc w:val="center"/>
              <w:rPr>
                <w:b/>
                <w:bCs/>
                <w:sz w:val="20"/>
                <w:szCs w:val="21"/>
              </w:rPr>
            </w:pPr>
            <w:r>
              <w:rPr>
                <w:rFonts w:hint="eastAsia"/>
                <w:b/>
                <w:bCs/>
                <w:sz w:val="20"/>
                <w:szCs w:val="21"/>
              </w:rPr>
              <w:t>N</w:t>
            </w:r>
            <w:r>
              <w:rPr>
                <w:b/>
                <w:bCs/>
                <w:sz w:val="20"/>
                <w:szCs w:val="21"/>
              </w:rPr>
              <w:t>o.</w:t>
            </w:r>
          </w:p>
        </w:tc>
        <w:tc>
          <w:tcPr>
            <w:tcW w:w="953" w:type="pct"/>
            <w:shd w:val="clear" w:color="auto" w:fill="D9D9D9"/>
            <w:noWrap w:val="0"/>
            <w:vAlign w:val="center"/>
          </w:tcPr>
          <w:p w14:paraId="26E99F2E">
            <w:pPr>
              <w:spacing w:before="120" w:after="120"/>
              <w:jc w:val="center"/>
              <w:rPr>
                <w:b/>
                <w:bCs/>
                <w:sz w:val="20"/>
                <w:szCs w:val="21"/>
              </w:rPr>
            </w:pPr>
            <w:r>
              <w:rPr>
                <w:rFonts w:hint="eastAsia"/>
                <w:b/>
                <w:bCs/>
                <w:sz w:val="20"/>
                <w:szCs w:val="21"/>
              </w:rPr>
              <w:t>部组件</w:t>
            </w:r>
          </w:p>
          <w:p w14:paraId="0C44E8D1">
            <w:pPr>
              <w:spacing w:before="120" w:after="120"/>
              <w:jc w:val="center"/>
              <w:rPr>
                <w:b/>
                <w:bCs/>
                <w:sz w:val="20"/>
                <w:szCs w:val="21"/>
              </w:rPr>
            </w:pPr>
            <w:r>
              <w:rPr>
                <w:b/>
                <w:bCs/>
                <w:sz w:val="20"/>
                <w:szCs w:val="21"/>
              </w:rPr>
              <w:t>Item</w:t>
            </w:r>
          </w:p>
        </w:tc>
        <w:tc>
          <w:tcPr>
            <w:tcW w:w="696" w:type="pct"/>
            <w:shd w:val="clear" w:color="auto" w:fill="D9D9D9"/>
            <w:noWrap w:val="0"/>
            <w:vAlign w:val="center"/>
          </w:tcPr>
          <w:p w14:paraId="373A82E7">
            <w:pPr>
              <w:spacing w:before="120" w:after="120"/>
              <w:jc w:val="center"/>
              <w:rPr>
                <w:b/>
                <w:bCs/>
                <w:sz w:val="20"/>
                <w:szCs w:val="21"/>
              </w:rPr>
            </w:pPr>
            <w:r>
              <w:rPr>
                <w:rFonts w:hint="eastAsia"/>
                <w:b/>
                <w:bCs/>
                <w:sz w:val="20"/>
                <w:szCs w:val="21"/>
              </w:rPr>
              <w:t>核安全等级</w:t>
            </w:r>
          </w:p>
          <w:p w14:paraId="6DDB3F41">
            <w:pPr>
              <w:spacing w:before="120" w:after="120"/>
              <w:jc w:val="center"/>
              <w:rPr>
                <w:b/>
                <w:bCs/>
                <w:sz w:val="20"/>
                <w:szCs w:val="21"/>
              </w:rPr>
            </w:pPr>
            <w:r>
              <w:rPr>
                <w:rFonts w:hint="eastAsia"/>
                <w:b/>
                <w:bCs/>
                <w:sz w:val="20"/>
                <w:szCs w:val="21"/>
              </w:rPr>
              <w:t>P</w:t>
            </w:r>
            <w:r>
              <w:rPr>
                <w:b/>
                <w:bCs/>
                <w:sz w:val="20"/>
                <w:szCs w:val="21"/>
              </w:rPr>
              <w:t>IC/Safety Class</w:t>
            </w:r>
          </w:p>
        </w:tc>
        <w:tc>
          <w:tcPr>
            <w:tcW w:w="634" w:type="pct"/>
            <w:shd w:val="clear" w:color="auto" w:fill="D9D9D9"/>
            <w:noWrap w:val="0"/>
            <w:vAlign w:val="center"/>
          </w:tcPr>
          <w:p w14:paraId="7B63778E">
            <w:pPr>
              <w:spacing w:before="120" w:after="120"/>
              <w:jc w:val="center"/>
              <w:rPr>
                <w:b/>
                <w:bCs/>
                <w:sz w:val="20"/>
                <w:szCs w:val="21"/>
              </w:rPr>
            </w:pPr>
            <w:r>
              <w:rPr>
                <w:rFonts w:hint="eastAsia"/>
                <w:b/>
                <w:bCs/>
                <w:sz w:val="20"/>
                <w:szCs w:val="21"/>
              </w:rPr>
              <w:t>质量等级</w:t>
            </w:r>
          </w:p>
          <w:p w14:paraId="0719967B">
            <w:pPr>
              <w:spacing w:before="120" w:after="120"/>
              <w:jc w:val="center"/>
              <w:rPr>
                <w:b/>
                <w:bCs/>
                <w:sz w:val="20"/>
                <w:szCs w:val="21"/>
              </w:rPr>
            </w:pPr>
            <w:r>
              <w:rPr>
                <w:rFonts w:hint="eastAsia"/>
                <w:b/>
                <w:bCs/>
                <w:sz w:val="20"/>
                <w:szCs w:val="21"/>
              </w:rPr>
              <w:t>Q</w:t>
            </w:r>
            <w:r>
              <w:rPr>
                <w:b/>
                <w:bCs/>
                <w:sz w:val="20"/>
                <w:szCs w:val="21"/>
              </w:rPr>
              <w:t>uality Class</w:t>
            </w:r>
          </w:p>
        </w:tc>
        <w:tc>
          <w:tcPr>
            <w:tcW w:w="1080" w:type="pct"/>
            <w:shd w:val="clear" w:color="auto" w:fill="D9D9D9"/>
            <w:noWrap w:val="0"/>
            <w:vAlign w:val="center"/>
          </w:tcPr>
          <w:p w14:paraId="38DE3109">
            <w:pPr>
              <w:jc w:val="center"/>
              <w:rPr>
                <w:b/>
                <w:bCs/>
                <w:sz w:val="20"/>
                <w:szCs w:val="21"/>
              </w:rPr>
            </w:pPr>
            <w:r>
              <w:rPr>
                <w:rFonts w:hint="eastAsia"/>
                <w:b/>
                <w:bCs/>
                <w:sz w:val="20"/>
                <w:szCs w:val="21"/>
              </w:rPr>
              <w:t>图纸编号</w:t>
            </w:r>
          </w:p>
          <w:p w14:paraId="3178F210">
            <w:pPr>
              <w:jc w:val="center"/>
              <w:rPr>
                <w:b/>
                <w:bCs/>
                <w:sz w:val="20"/>
                <w:szCs w:val="21"/>
              </w:rPr>
            </w:pPr>
            <w:r>
              <w:rPr>
                <w:rFonts w:hint="eastAsia"/>
                <w:b/>
                <w:bCs/>
                <w:sz w:val="20"/>
                <w:szCs w:val="21"/>
              </w:rPr>
              <w:t>Drawing number</w:t>
            </w:r>
          </w:p>
        </w:tc>
        <w:tc>
          <w:tcPr>
            <w:tcW w:w="1313" w:type="pct"/>
            <w:shd w:val="clear" w:color="auto" w:fill="D9D9D9"/>
            <w:noWrap w:val="0"/>
            <w:vAlign w:val="center"/>
          </w:tcPr>
          <w:p w14:paraId="2ABBE8BC">
            <w:pPr>
              <w:jc w:val="center"/>
              <w:rPr>
                <w:b/>
                <w:bCs/>
                <w:sz w:val="20"/>
                <w:szCs w:val="21"/>
              </w:rPr>
            </w:pPr>
            <w:r>
              <w:rPr>
                <w:rFonts w:hint="eastAsia"/>
                <w:b/>
                <w:bCs/>
                <w:sz w:val="20"/>
                <w:szCs w:val="21"/>
              </w:rPr>
              <w:t>备注</w:t>
            </w:r>
          </w:p>
          <w:p w14:paraId="6FB6B58C">
            <w:pPr>
              <w:jc w:val="center"/>
              <w:rPr>
                <w:b/>
                <w:bCs/>
                <w:sz w:val="20"/>
                <w:szCs w:val="21"/>
              </w:rPr>
            </w:pPr>
            <w:r>
              <w:rPr>
                <w:rFonts w:hint="eastAsia"/>
                <w:b/>
                <w:bCs/>
                <w:sz w:val="20"/>
                <w:szCs w:val="21"/>
              </w:rPr>
              <w:t>Remark</w:t>
            </w:r>
          </w:p>
        </w:tc>
      </w:tr>
      <w:tr w14:paraId="7998FF3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24" w:type="pct"/>
            <w:noWrap w:val="0"/>
            <w:vAlign w:val="center"/>
          </w:tcPr>
          <w:p w14:paraId="68930D67">
            <w:pPr>
              <w:spacing w:before="120" w:after="120"/>
              <w:jc w:val="center"/>
              <w:rPr>
                <w:sz w:val="20"/>
                <w:szCs w:val="21"/>
              </w:rPr>
            </w:pPr>
          </w:p>
        </w:tc>
        <w:tc>
          <w:tcPr>
            <w:tcW w:w="953" w:type="pct"/>
            <w:noWrap w:val="0"/>
            <w:vAlign w:val="center"/>
          </w:tcPr>
          <w:p w14:paraId="061858D3">
            <w:pPr>
              <w:spacing w:before="120" w:after="120"/>
              <w:jc w:val="center"/>
              <w:rPr>
                <w:sz w:val="20"/>
                <w:szCs w:val="21"/>
              </w:rPr>
            </w:pPr>
            <w:r>
              <w:rPr>
                <w:rFonts w:hint="eastAsia"/>
                <w:sz w:val="20"/>
                <w:szCs w:val="21"/>
              </w:rPr>
              <w:t>ISS assembly</w:t>
            </w:r>
          </w:p>
        </w:tc>
        <w:tc>
          <w:tcPr>
            <w:tcW w:w="696" w:type="pct"/>
            <w:noWrap w:val="0"/>
            <w:vAlign w:val="center"/>
          </w:tcPr>
          <w:p w14:paraId="42771A49">
            <w:pPr>
              <w:spacing w:before="120" w:after="120"/>
              <w:jc w:val="center"/>
              <w:rPr>
                <w:sz w:val="20"/>
                <w:szCs w:val="21"/>
              </w:rPr>
            </w:pPr>
            <w:r>
              <w:rPr>
                <w:rFonts w:hint="eastAsia"/>
                <w:sz w:val="20"/>
                <w:szCs w:val="21"/>
              </w:rPr>
              <w:t>SIC-2/SR</w:t>
            </w:r>
          </w:p>
        </w:tc>
        <w:tc>
          <w:tcPr>
            <w:tcW w:w="634" w:type="pct"/>
            <w:noWrap w:val="0"/>
            <w:vAlign w:val="center"/>
          </w:tcPr>
          <w:p w14:paraId="6B88968F">
            <w:pPr>
              <w:spacing w:before="120" w:after="120"/>
              <w:jc w:val="center"/>
              <w:rPr>
                <w:sz w:val="20"/>
                <w:szCs w:val="21"/>
              </w:rPr>
            </w:pPr>
            <w:r>
              <w:rPr>
                <w:rFonts w:hint="eastAsia"/>
                <w:sz w:val="20"/>
                <w:szCs w:val="21"/>
              </w:rPr>
              <w:t>Q</w:t>
            </w:r>
            <w:r>
              <w:rPr>
                <w:sz w:val="20"/>
                <w:szCs w:val="21"/>
              </w:rPr>
              <w:t>C-1</w:t>
            </w:r>
          </w:p>
        </w:tc>
        <w:tc>
          <w:tcPr>
            <w:tcW w:w="1080" w:type="pct"/>
            <w:noWrap w:val="0"/>
            <w:vAlign w:val="center"/>
          </w:tcPr>
          <w:p w14:paraId="06D1A718">
            <w:pPr>
              <w:jc w:val="center"/>
              <w:rPr>
                <w:sz w:val="20"/>
                <w:szCs w:val="21"/>
              </w:rPr>
            </w:pPr>
            <w:r>
              <w:rPr>
                <w:sz w:val="20"/>
                <w:szCs w:val="21"/>
              </w:rPr>
              <w:t>55QCBJ.T-0</w:t>
            </w:r>
            <w:r>
              <w:rPr>
                <w:rFonts w:hint="eastAsia"/>
                <w:sz w:val="20"/>
                <w:szCs w:val="21"/>
              </w:rPr>
              <w:t>0</w:t>
            </w:r>
            <w:r>
              <w:rPr>
                <w:sz w:val="20"/>
                <w:szCs w:val="21"/>
              </w:rPr>
              <w:t>0000</w:t>
            </w:r>
          </w:p>
        </w:tc>
        <w:tc>
          <w:tcPr>
            <w:tcW w:w="1313" w:type="pct"/>
            <w:noWrap w:val="0"/>
            <w:vAlign w:val="center"/>
          </w:tcPr>
          <w:p w14:paraId="247AF8A7">
            <w:pPr>
              <w:jc w:val="center"/>
              <w:rPr>
                <w:sz w:val="20"/>
                <w:szCs w:val="21"/>
              </w:rPr>
            </w:pPr>
            <w:r>
              <w:rPr>
                <w:rFonts w:hint="eastAsia"/>
                <w:sz w:val="20"/>
                <w:szCs w:val="21"/>
              </w:rPr>
              <w:t>总装图</w:t>
            </w:r>
          </w:p>
        </w:tc>
      </w:tr>
      <w:tr w14:paraId="03DE817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8" w:hRule="atLeast"/>
          <w:jc w:val="center"/>
        </w:trPr>
        <w:tc>
          <w:tcPr>
            <w:tcW w:w="324" w:type="pct"/>
            <w:noWrap w:val="0"/>
            <w:vAlign w:val="center"/>
          </w:tcPr>
          <w:p w14:paraId="7DCEE386">
            <w:pPr>
              <w:spacing w:before="120" w:after="120"/>
              <w:jc w:val="center"/>
              <w:rPr>
                <w:sz w:val="20"/>
                <w:szCs w:val="21"/>
              </w:rPr>
            </w:pPr>
            <w:r>
              <w:rPr>
                <w:sz w:val="20"/>
                <w:szCs w:val="21"/>
              </w:rPr>
              <w:t>01</w:t>
            </w:r>
          </w:p>
        </w:tc>
        <w:tc>
          <w:tcPr>
            <w:tcW w:w="953" w:type="pct"/>
            <w:noWrap w:val="0"/>
            <w:vAlign w:val="center"/>
          </w:tcPr>
          <w:p w14:paraId="75086DB4">
            <w:pPr>
              <w:spacing w:before="120" w:after="120"/>
              <w:jc w:val="center"/>
              <w:rPr>
                <w:sz w:val="20"/>
                <w:szCs w:val="21"/>
              </w:rPr>
            </w:pPr>
            <w:r>
              <w:rPr>
                <w:rFonts w:hint="eastAsia"/>
                <w:sz w:val="20"/>
                <w:szCs w:val="21"/>
              </w:rPr>
              <w:t>ISS Chassis Assembly</w:t>
            </w:r>
          </w:p>
          <w:p w14:paraId="5ADDE0C5">
            <w:pPr>
              <w:spacing w:before="120" w:after="120"/>
              <w:jc w:val="center"/>
              <w:rPr>
                <w:sz w:val="20"/>
                <w:szCs w:val="21"/>
              </w:rPr>
            </w:pPr>
            <w:r>
              <w:rPr>
                <w:rFonts w:hint="eastAsia"/>
                <w:sz w:val="20"/>
                <w:szCs w:val="21"/>
              </w:rPr>
              <w:t>(</w:t>
            </w:r>
            <w:r>
              <w:rPr>
                <w:sz w:val="20"/>
                <w:szCs w:val="21"/>
              </w:rPr>
              <w:t>With</w:t>
            </w:r>
            <w:r>
              <w:rPr>
                <w:rFonts w:hint="eastAsia"/>
                <w:sz w:val="20"/>
                <w:szCs w:val="21"/>
              </w:rPr>
              <w:t xml:space="preserve"> bogies, </w:t>
            </w:r>
            <w:r>
              <w:rPr>
                <w:sz w:val="20"/>
                <w:szCs w:val="21"/>
              </w:rPr>
              <w:t>locking</w:t>
            </w:r>
            <w:r>
              <w:rPr>
                <w:rFonts w:hint="eastAsia"/>
                <w:sz w:val="20"/>
                <w:szCs w:val="21"/>
              </w:rPr>
              <w:t>..</w:t>
            </w:r>
            <w:r>
              <w:rPr>
                <w:sz w:val="20"/>
                <w:szCs w:val="21"/>
              </w:rPr>
              <w:t>.</w:t>
            </w:r>
            <w:r>
              <w:rPr>
                <w:rFonts w:hint="eastAsia"/>
                <w:sz w:val="20"/>
                <w:szCs w:val="21"/>
              </w:rPr>
              <w:t>)</w:t>
            </w:r>
          </w:p>
          <w:p w14:paraId="2E3E288D">
            <w:pPr>
              <w:spacing w:before="120" w:after="120"/>
              <w:jc w:val="center"/>
              <w:rPr>
                <w:sz w:val="20"/>
                <w:szCs w:val="21"/>
              </w:rPr>
            </w:pPr>
            <w:r>
              <w:rPr>
                <w:rFonts w:hint="eastAsia"/>
                <w:sz w:val="20"/>
                <w:szCs w:val="21"/>
              </w:rPr>
              <w:t>ISS底盘装配体（包含滚轮、锁定机构等）</w:t>
            </w:r>
          </w:p>
        </w:tc>
        <w:tc>
          <w:tcPr>
            <w:tcW w:w="696" w:type="pct"/>
            <w:noWrap w:val="0"/>
            <w:vAlign w:val="center"/>
          </w:tcPr>
          <w:p w14:paraId="12AEFE8F">
            <w:pPr>
              <w:spacing w:before="120" w:after="120"/>
              <w:jc w:val="center"/>
              <w:rPr>
                <w:sz w:val="20"/>
                <w:szCs w:val="21"/>
              </w:rPr>
            </w:pPr>
            <w:r>
              <w:rPr>
                <w:rFonts w:hint="eastAsia"/>
                <w:sz w:val="20"/>
                <w:szCs w:val="21"/>
              </w:rPr>
              <w:t>SIC-2</w:t>
            </w:r>
          </w:p>
        </w:tc>
        <w:tc>
          <w:tcPr>
            <w:tcW w:w="634" w:type="pct"/>
            <w:noWrap w:val="0"/>
            <w:vAlign w:val="center"/>
          </w:tcPr>
          <w:p w14:paraId="55A7919F">
            <w:pPr>
              <w:spacing w:before="120" w:after="120"/>
              <w:jc w:val="center"/>
              <w:rPr>
                <w:sz w:val="20"/>
                <w:szCs w:val="21"/>
              </w:rPr>
            </w:pPr>
            <w:r>
              <w:rPr>
                <w:rFonts w:hint="eastAsia"/>
                <w:sz w:val="20"/>
                <w:szCs w:val="21"/>
              </w:rPr>
              <w:t>Q</w:t>
            </w:r>
            <w:r>
              <w:rPr>
                <w:sz w:val="20"/>
                <w:szCs w:val="21"/>
              </w:rPr>
              <w:t>C-1</w:t>
            </w:r>
          </w:p>
        </w:tc>
        <w:tc>
          <w:tcPr>
            <w:tcW w:w="1080" w:type="pct"/>
            <w:noWrap w:val="0"/>
            <w:vAlign w:val="center"/>
          </w:tcPr>
          <w:p w14:paraId="59E656AA">
            <w:pPr>
              <w:spacing w:before="120" w:after="120"/>
              <w:jc w:val="center"/>
              <w:rPr>
                <w:sz w:val="20"/>
                <w:szCs w:val="21"/>
              </w:rPr>
            </w:pPr>
            <w:r>
              <w:rPr>
                <w:sz w:val="20"/>
                <w:szCs w:val="21"/>
              </w:rPr>
              <w:t>55QCBJ.T-010</w:t>
            </w:r>
            <w:r>
              <w:rPr>
                <w:rFonts w:hint="eastAsia"/>
                <w:sz w:val="20"/>
                <w:szCs w:val="21"/>
              </w:rPr>
              <w:t>0</w:t>
            </w:r>
            <w:r>
              <w:rPr>
                <w:sz w:val="20"/>
                <w:szCs w:val="21"/>
              </w:rPr>
              <w:t>0</w:t>
            </w:r>
            <w:r>
              <w:rPr>
                <w:rFonts w:hint="eastAsia"/>
                <w:sz w:val="20"/>
                <w:szCs w:val="21"/>
              </w:rPr>
              <w:t>0</w:t>
            </w:r>
          </w:p>
        </w:tc>
        <w:tc>
          <w:tcPr>
            <w:tcW w:w="1313" w:type="pct"/>
            <w:noWrap w:val="0"/>
            <w:vAlign w:val="center"/>
          </w:tcPr>
          <w:p w14:paraId="5C093BA7">
            <w:pPr>
              <w:pStyle w:val="6"/>
              <w:numPr>
                <w:ilvl w:val="0"/>
                <w:numId w:val="1"/>
              </w:numPr>
              <w:spacing w:before="120" w:after="120" w:line="312" w:lineRule="auto"/>
              <w:ind w:firstLineChars="0"/>
              <w:jc w:val="center"/>
              <w:rPr>
                <w:sz w:val="20"/>
                <w:szCs w:val="21"/>
              </w:rPr>
            </w:pPr>
            <w:r>
              <w:rPr>
                <w:rFonts w:hint="eastAsia"/>
                <w:sz w:val="20"/>
                <w:szCs w:val="21"/>
              </w:rPr>
              <w:t xml:space="preserve">混凝土占位Concrete </w:t>
            </w:r>
            <w:r>
              <w:rPr>
                <w:sz w:val="20"/>
                <w:szCs w:val="21"/>
              </w:rPr>
              <w:t>Volume: ~</w:t>
            </w:r>
            <w:r>
              <w:rPr>
                <w:rFonts w:hint="eastAsia"/>
                <w:sz w:val="20"/>
                <w:szCs w:val="21"/>
              </w:rPr>
              <w:t>3.5 m</w:t>
            </w:r>
            <w:r>
              <w:rPr>
                <w:rFonts w:hint="eastAsia"/>
                <w:sz w:val="20"/>
                <w:szCs w:val="21"/>
                <w:vertAlign w:val="superscript"/>
              </w:rPr>
              <w:t>3</w:t>
            </w:r>
          </w:p>
        </w:tc>
      </w:tr>
      <w:tr w14:paraId="28DAD4B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8" w:hRule="atLeast"/>
          <w:jc w:val="center"/>
        </w:trPr>
        <w:tc>
          <w:tcPr>
            <w:tcW w:w="324" w:type="pct"/>
            <w:noWrap w:val="0"/>
            <w:vAlign w:val="center"/>
          </w:tcPr>
          <w:p w14:paraId="3CD67519">
            <w:pPr>
              <w:spacing w:before="120" w:after="120"/>
              <w:jc w:val="center"/>
              <w:rPr>
                <w:sz w:val="20"/>
                <w:szCs w:val="21"/>
              </w:rPr>
            </w:pPr>
            <w:r>
              <w:rPr>
                <w:rFonts w:hint="eastAsia"/>
                <w:sz w:val="20"/>
                <w:szCs w:val="21"/>
              </w:rPr>
              <w:t>02</w:t>
            </w:r>
          </w:p>
        </w:tc>
        <w:tc>
          <w:tcPr>
            <w:tcW w:w="953" w:type="pct"/>
            <w:noWrap w:val="0"/>
            <w:vAlign w:val="center"/>
          </w:tcPr>
          <w:p w14:paraId="7B23D479">
            <w:pPr>
              <w:spacing w:before="120" w:after="120"/>
              <w:jc w:val="center"/>
              <w:rPr>
                <w:sz w:val="20"/>
                <w:szCs w:val="21"/>
              </w:rPr>
            </w:pPr>
            <w:r>
              <w:rPr>
                <w:rFonts w:hint="eastAsia"/>
                <w:sz w:val="20"/>
                <w:szCs w:val="21"/>
              </w:rPr>
              <w:t>ISS Main Frame Structure</w:t>
            </w:r>
          </w:p>
          <w:p w14:paraId="3EF0489E">
            <w:pPr>
              <w:spacing w:before="120" w:after="120"/>
              <w:jc w:val="center"/>
              <w:rPr>
                <w:sz w:val="20"/>
                <w:szCs w:val="21"/>
              </w:rPr>
            </w:pPr>
            <w:r>
              <w:rPr>
                <w:rFonts w:hint="eastAsia"/>
                <w:sz w:val="20"/>
                <w:szCs w:val="21"/>
              </w:rPr>
              <w:t>ISS主体支撑结构</w:t>
            </w:r>
          </w:p>
        </w:tc>
        <w:tc>
          <w:tcPr>
            <w:tcW w:w="696" w:type="pct"/>
            <w:noWrap w:val="0"/>
            <w:vAlign w:val="center"/>
          </w:tcPr>
          <w:p w14:paraId="5D9F35C1">
            <w:pPr>
              <w:spacing w:before="120" w:after="120"/>
              <w:jc w:val="center"/>
              <w:rPr>
                <w:sz w:val="20"/>
                <w:szCs w:val="21"/>
              </w:rPr>
            </w:pPr>
            <w:r>
              <w:rPr>
                <w:rFonts w:hint="eastAsia"/>
                <w:sz w:val="20"/>
                <w:szCs w:val="21"/>
              </w:rPr>
              <w:t>SIC-2</w:t>
            </w:r>
          </w:p>
        </w:tc>
        <w:tc>
          <w:tcPr>
            <w:tcW w:w="634" w:type="pct"/>
            <w:noWrap w:val="0"/>
            <w:vAlign w:val="center"/>
          </w:tcPr>
          <w:p w14:paraId="505FCFDA">
            <w:pPr>
              <w:spacing w:before="120" w:after="120"/>
              <w:jc w:val="center"/>
              <w:rPr>
                <w:sz w:val="20"/>
                <w:szCs w:val="21"/>
              </w:rPr>
            </w:pPr>
            <w:r>
              <w:rPr>
                <w:rFonts w:hint="eastAsia"/>
                <w:sz w:val="20"/>
                <w:szCs w:val="21"/>
              </w:rPr>
              <w:t>Q</w:t>
            </w:r>
            <w:r>
              <w:rPr>
                <w:sz w:val="20"/>
                <w:szCs w:val="21"/>
              </w:rPr>
              <w:t>C-1</w:t>
            </w:r>
          </w:p>
        </w:tc>
        <w:tc>
          <w:tcPr>
            <w:tcW w:w="1080" w:type="pct"/>
            <w:noWrap w:val="0"/>
            <w:vAlign w:val="center"/>
          </w:tcPr>
          <w:p w14:paraId="515C07E9">
            <w:pPr>
              <w:spacing w:before="120" w:after="120"/>
              <w:jc w:val="center"/>
              <w:rPr>
                <w:sz w:val="20"/>
                <w:szCs w:val="21"/>
              </w:rPr>
            </w:pPr>
            <w:r>
              <w:rPr>
                <w:sz w:val="20"/>
                <w:szCs w:val="21"/>
              </w:rPr>
              <w:t>55QCBJ.T-0</w:t>
            </w:r>
            <w:r>
              <w:rPr>
                <w:rFonts w:hint="eastAsia"/>
                <w:sz w:val="20"/>
                <w:szCs w:val="21"/>
              </w:rPr>
              <w:t>2</w:t>
            </w:r>
            <w:r>
              <w:rPr>
                <w:sz w:val="20"/>
                <w:szCs w:val="21"/>
              </w:rPr>
              <w:t>0000</w:t>
            </w:r>
          </w:p>
        </w:tc>
        <w:tc>
          <w:tcPr>
            <w:tcW w:w="1313" w:type="pct"/>
            <w:noWrap w:val="0"/>
            <w:vAlign w:val="center"/>
          </w:tcPr>
          <w:p w14:paraId="77EA1DD6">
            <w:pPr>
              <w:spacing w:before="120" w:after="120"/>
              <w:jc w:val="center"/>
              <w:rPr>
                <w:sz w:val="20"/>
                <w:szCs w:val="21"/>
              </w:rPr>
            </w:pPr>
          </w:p>
        </w:tc>
      </w:tr>
      <w:tr w14:paraId="3A1B756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8" w:hRule="atLeast"/>
          <w:jc w:val="center"/>
        </w:trPr>
        <w:tc>
          <w:tcPr>
            <w:tcW w:w="324" w:type="pct"/>
            <w:noWrap w:val="0"/>
            <w:vAlign w:val="center"/>
          </w:tcPr>
          <w:p w14:paraId="07A13E59">
            <w:pPr>
              <w:spacing w:before="120" w:after="120"/>
              <w:jc w:val="center"/>
              <w:rPr>
                <w:sz w:val="20"/>
                <w:szCs w:val="21"/>
              </w:rPr>
            </w:pPr>
            <w:r>
              <w:rPr>
                <w:rFonts w:hint="eastAsia"/>
                <w:sz w:val="20"/>
                <w:szCs w:val="21"/>
              </w:rPr>
              <w:t>03</w:t>
            </w:r>
          </w:p>
        </w:tc>
        <w:tc>
          <w:tcPr>
            <w:tcW w:w="953" w:type="pct"/>
            <w:noWrap w:val="0"/>
            <w:vAlign w:val="center"/>
          </w:tcPr>
          <w:p w14:paraId="756294DE">
            <w:pPr>
              <w:spacing w:before="120" w:after="120"/>
              <w:jc w:val="center"/>
              <w:rPr>
                <w:sz w:val="20"/>
                <w:szCs w:val="21"/>
              </w:rPr>
            </w:pPr>
            <w:r>
              <w:rPr>
                <w:rFonts w:hint="eastAsia"/>
                <w:sz w:val="20"/>
                <w:szCs w:val="21"/>
              </w:rPr>
              <w:t>ISS shielding boxes</w:t>
            </w:r>
          </w:p>
          <w:p w14:paraId="6A20605C">
            <w:pPr>
              <w:spacing w:before="120" w:after="120"/>
              <w:jc w:val="center"/>
              <w:rPr>
                <w:sz w:val="20"/>
                <w:szCs w:val="21"/>
              </w:rPr>
            </w:pPr>
            <w:r>
              <w:rPr>
                <w:rFonts w:hint="eastAsia"/>
                <w:sz w:val="20"/>
                <w:szCs w:val="21"/>
              </w:rPr>
              <w:t>ISS屏蔽盒</w:t>
            </w:r>
          </w:p>
        </w:tc>
        <w:tc>
          <w:tcPr>
            <w:tcW w:w="696" w:type="pct"/>
            <w:noWrap w:val="0"/>
            <w:vAlign w:val="center"/>
          </w:tcPr>
          <w:p w14:paraId="3EF805B0">
            <w:pPr>
              <w:spacing w:before="120" w:after="120"/>
              <w:jc w:val="center"/>
              <w:rPr>
                <w:sz w:val="20"/>
                <w:szCs w:val="21"/>
              </w:rPr>
            </w:pPr>
            <w:r>
              <w:rPr>
                <w:rFonts w:hint="eastAsia"/>
                <w:sz w:val="20"/>
                <w:szCs w:val="21"/>
              </w:rPr>
              <w:t>S</w:t>
            </w:r>
            <w:r>
              <w:rPr>
                <w:sz w:val="20"/>
                <w:szCs w:val="21"/>
              </w:rPr>
              <w:t>R</w:t>
            </w:r>
          </w:p>
        </w:tc>
        <w:tc>
          <w:tcPr>
            <w:tcW w:w="634" w:type="pct"/>
            <w:noWrap w:val="0"/>
            <w:vAlign w:val="center"/>
          </w:tcPr>
          <w:p w14:paraId="0B1AF9EE">
            <w:pPr>
              <w:spacing w:before="120" w:after="120"/>
              <w:jc w:val="center"/>
              <w:rPr>
                <w:sz w:val="20"/>
                <w:szCs w:val="21"/>
              </w:rPr>
            </w:pPr>
            <w:r>
              <w:rPr>
                <w:rFonts w:hint="eastAsia"/>
                <w:sz w:val="20"/>
                <w:szCs w:val="21"/>
              </w:rPr>
              <w:t>Q</w:t>
            </w:r>
            <w:r>
              <w:rPr>
                <w:sz w:val="20"/>
                <w:szCs w:val="21"/>
              </w:rPr>
              <w:t>C-1</w:t>
            </w:r>
          </w:p>
        </w:tc>
        <w:tc>
          <w:tcPr>
            <w:tcW w:w="1080" w:type="pct"/>
            <w:noWrap w:val="0"/>
            <w:vAlign w:val="center"/>
          </w:tcPr>
          <w:p w14:paraId="47A49724">
            <w:pPr>
              <w:spacing w:before="120" w:after="120"/>
              <w:jc w:val="center"/>
              <w:rPr>
                <w:sz w:val="20"/>
                <w:szCs w:val="21"/>
              </w:rPr>
            </w:pPr>
            <w:r>
              <w:rPr>
                <w:sz w:val="20"/>
                <w:szCs w:val="21"/>
              </w:rPr>
              <w:t>55QCBJ.T-0</w:t>
            </w:r>
            <w:r>
              <w:rPr>
                <w:rFonts w:hint="eastAsia"/>
                <w:sz w:val="20"/>
                <w:szCs w:val="21"/>
              </w:rPr>
              <w:t>3</w:t>
            </w:r>
            <w:r>
              <w:rPr>
                <w:sz w:val="20"/>
                <w:szCs w:val="21"/>
              </w:rPr>
              <w:t>0000</w:t>
            </w:r>
          </w:p>
        </w:tc>
        <w:tc>
          <w:tcPr>
            <w:tcW w:w="1313" w:type="pct"/>
            <w:noWrap w:val="0"/>
            <w:vAlign w:val="center"/>
          </w:tcPr>
          <w:p w14:paraId="2AF70D74">
            <w:pPr>
              <w:pStyle w:val="6"/>
              <w:numPr>
                <w:ilvl w:val="0"/>
                <w:numId w:val="2"/>
              </w:numPr>
              <w:spacing w:before="120" w:after="120" w:line="312" w:lineRule="auto"/>
              <w:ind w:firstLineChars="0"/>
              <w:jc w:val="center"/>
              <w:rPr>
                <w:sz w:val="20"/>
                <w:szCs w:val="21"/>
              </w:rPr>
            </w:pPr>
            <w:r>
              <w:rPr>
                <w:rFonts w:hint="eastAsia"/>
                <w:sz w:val="20"/>
                <w:szCs w:val="21"/>
              </w:rPr>
              <w:t>盒体数量Box Q</w:t>
            </w:r>
            <w:r>
              <w:rPr>
                <w:sz w:val="20"/>
                <w:szCs w:val="21"/>
              </w:rPr>
              <w:t>uantit</w:t>
            </w:r>
            <w:r>
              <w:rPr>
                <w:rFonts w:hint="eastAsia"/>
                <w:sz w:val="20"/>
                <w:szCs w:val="21"/>
              </w:rPr>
              <w:t>ies: ~24 set</w:t>
            </w:r>
          </w:p>
          <w:p w14:paraId="43FCD36A">
            <w:pPr>
              <w:pStyle w:val="6"/>
              <w:numPr>
                <w:ilvl w:val="0"/>
                <w:numId w:val="2"/>
              </w:numPr>
              <w:spacing w:before="120" w:after="120" w:line="312" w:lineRule="auto"/>
              <w:ind w:firstLineChars="0"/>
              <w:jc w:val="center"/>
              <w:rPr>
                <w:sz w:val="20"/>
                <w:szCs w:val="21"/>
              </w:rPr>
            </w:pPr>
            <w:r>
              <w:rPr>
                <w:rFonts w:hint="eastAsia"/>
                <w:sz w:val="20"/>
                <w:szCs w:val="21"/>
              </w:rPr>
              <w:t xml:space="preserve">混凝土占位Concrete </w:t>
            </w:r>
            <w:r>
              <w:rPr>
                <w:sz w:val="20"/>
                <w:szCs w:val="21"/>
              </w:rPr>
              <w:t>Volume: ~</w:t>
            </w:r>
            <w:r>
              <w:rPr>
                <w:rFonts w:hint="eastAsia"/>
                <w:sz w:val="20"/>
                <w:szCs w:val="21"/>
              </w:rPr>
              <w:t>8m</w:t>
            </w:r>
            <w:r>
              <w:rPr>
                <w:rFonts w:hint="eastAsia"/>
                <w:sz w:val="20"/>
                <w:szCs w:val="21"/>
                <w:vertAlign w:val="superscript"/>
              </w:rPr>
              <w:t>3</w:t>
            </w:r>
          </w:p>
        </w:tc>
      </w:tr>
      <w:tr w14:paraId="316621C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8" w:hRule="atLeast"/>
          <w:jc w:val="center"/>
        </w:trPr>
        <w:tc>
          <w:tcPr>
            <w:tcW w:w="324" w:type="pct"/>
            <w:noWrap w:val="0"/>
            <w:vAlign w:val="center"/>
          </w:tcPr>
          <w:p w14:paraId="185F3324">
            <w:pPr>
              <w:spacing w:before="120" w:after="120"/>
              <w:jc w:val="center"/>
              <w:rPr>
                <w:sz w:val="20"/>
                <w:szCs w:val="21"/>
              </w:rPr>
            </w:pPr>
            <w:r>
              <w:rPr>
                <w:rFonts w:hint="eastAsia"/>
                <w:sz w:val="20"/>
                <w:szCs w:val="21"/>
              </w:rPr>
              <w:t>04</w:t>
            </w:r>
          </w:p>
        </w:tc>
        <w:tc>
          <w:tcPr>
            <w:tcW w:w="953" w:type="pct"/>
            <w:noWrap w:val="0"/>
            <w:vAlign w:val="center"/>
          </w:tcPr>
          <w:p w14:paraId="4ED1A58F">
            <w:pPr>
              <w:spacing w:before="120" w:after="120"/>
              <w:jc w:val="center"/>
              <w:rPr>
                <w:sz w:val="20"/>
                <w:szCs w:val="21"/>
              </w:rPr>
            </w:pPr>
            <w:r>
              <w:rPr>
                <w:rFonts w:hint="eastAsia"/>
                <w:sz w:val="20"/>
                <w:szCs w:val="21"/>
              </w:rPr>
              <w:t>Bio-shielding arch</w:t>
            </w:r>
          </w:p>
          <w:p w14:paraId="0CB639A2">
            <w:pPr>
              <w:spacing w:before="120" w:after="120"/>
              <w:jc w:val="center"/>
              <w:rPr>
                <w:sz w:val="20"/>
                <w:szCs w:val="21"/>
              </w:rPr>
            </w:pPr>
            <w:r>
              <w:rPr>
                <w:rFonts w:hint="eastAsia"/>
                <w:sz w:val="20"/>
                <w:szCs w:val="21"/>
              </w:rPr>
              <w:t>生物屏蔽拱门</w:t>
            </w:r>
          </w:p>
        </w:tc>
        <w:tc>
          <w:tcPr>
            <w:tcW w:w="696" w:type="pct"/>
            <w:noWrap w:val="0"/>
            <w:vAlign w:val="center"/>
          </w:tcPr>
          <w:p w14:paraId="0898B69E">
            <w:pPr>
              <w:spacing w:before="120" w:after="120"/>
              <w:jc w:val="center"/>
              <w:rPr>
                <w:sz w:val="20"/>
                <w:szCs w:val="21"/>
              </w:rPr>
            </w:pPr>
            <w:r>
              <w:rPr>
                <w:rFonts w:hint="eastAsia"/>
                <w:sz w:val="20"/>
                <w:szCs w:val="21"/>
              </w:rPr>
              <w:t>S</w:t>
            </w:r>
            <w:r>
              <w:rPr>
                <w:sz w:val="20"/>
                <w:szCs w:val="21"/>
              </w:rPr>
              <w:t>R</w:t>
            </w:r>
          </w:p>
        </w:tc>
        <w:tc>
          <w:tcPr>
            <w:tcW w:w="634" w:type="pct"/>
            <w:noWrap w:val="0"/>
            <w:vAlign w:val="center"/>
          </w:tcPr>
          <w:p w14:paraId="5AE1F65A">
            <w:pPr>
              <w:spacing w:before="120" w:after="120"/>
              <w:jc w:val="center"/>
              <w:rPr>
                <w:sz w:val="20"/>
                <w:szCs w:val="21"/>
              </w:rPr>
            </w:pPr>
            <w:r>
              <w:rPr>
                <w:rFonts w:hint="eastAsia"/>
                <w:sz w:val="20"/>
                <w:szCs w:val="21"/>
              </w:rPr>
              <w:t>Q</w:t>
            </w:r>
            <w:r>
              <w:rPr>
                <w:sz w:val="20"/>
                <w:szCs w:val="21"/>
              </w:rPr>
              <w:t>C-1</w:t>
            </w:r>
          </w:p>
        </w:tc>
        <w:tc>
          <w:tcPr>
            <w:tcW w:w="1080" w:type="pct"/>
            <w:noWrap w:val="0"/>
            <w:vAlign w:val="center"/>
          </w:tcPr>
          <w:p w14:paraId="38F01971">
            <w:pPr>
              <w:spacing w:before="120" w:after="120"/>
              <w:jc w:val="center"/>
              <w:rPr>
                <w:sz w:val="20"/>
                <w:szCs w:val="21"/>
              </w:rPr>
            </w:pPr>
            <w:r>
              <w:rPr>
                <w:sz w:val="20"/>
                <w:szCs w:val="21"/>
              </w:rPr>
              <w:t>55QCBJ.T-0</w:t>
            </w:r>
            <w:r>
              <w:rPr>
                <w:rFonts w:hint="eastAsia"/>
                <w:sz w:val="20"/>
                <w:szCs w:val="21"/>
              </w:rPr>
              <w:t>4</w:t>
            </w:r>
            <w:r>
              <w:rPr>
                <w:sz w:val="20"/>
                <w:szCs w:val="21"/>
              </w:rPr>
              <w:t>0000</w:t>
            </w:r>
          </w:p>
        </w:tc>
        <w:tc>
          <w:tcPr>
            <w:tcW w:w="1313" w:type="pct"/>
            <w:noWrap w:val="0"/>
            <w:vAlign w:val="center"/>
          </w:tcPr>
          <w:p w14:paraId="552FEE8E">
            <w:pPr>
              <w:pStyle w:val="6"/>
              <w:numPr>
                <w:ilvl w:val="0"/>
                <w:numId w:val="3"/>
              </w:numPr>
              <w:spacing w:before="120" w:after="120" w:line="312" w:lineRule="auto"/>
              <w:ind w:firstLineChars="0"/>
              <w:jc w:val="center"/>
              <w:rPr>
                <w:sz w:val="20"/>
                <w:szCs w:val="21"/>
              </w:rPr>
            </w:pPr>
            <w:r>
              <w:rPr>
                <w:rFonts w:hint="eastAsia"/>
                <w:sz w:val="20"/>
                <w:szCs w:val="21"/>
              </w:rPr>
              <w:t xml:space="preserve">混凝土占位Concrete </w:t>
            </w:r>
            <w:r>
              <w:rPr>
                <w:sz w:val="20"/>
                <w:szCs w:val="21"/>
              </w:rPr>
              <w:t>Volume: ~</w:t>
            </w:r>
            <w:r>
              <w:rPr>
                <w:rFonts w:hint="eastAsia"/>
                <w:sz w:val="20"/>
                <w:szCs w:val="21"/>
              </w:rPr>
              <w:t>0.5 m</w:t>
            </w:r>
            <w:r>
              <w:rPr>
                <w:rFonts w:hint="eastAsia"/>
                <w:sz w:val="20"/>
                <w:szCs w:val="21"/>
                <w:vertAlign w:val="superscript"/>
              </w:rPr>
              <w:t>3</w:t>
            </w:r>
          </w:p>
        </w:tc>
      </w:tr>
      <w:tr w14:paraId="7AA4089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8" w:hRule="atLeast"/>
          <w:jc w:val="center"/>
        </w:trPr>
        <w:tc>
          <w:tcPr>
            <w:tcW w:w="324" w:type="pct"/>
            <w:noWrap w:val="0"/>
            <w:vAlign w:val="center"/>
          </w:tcPr>
          <w:p w14:paraId="6172A61F">
            <w:pPr>
              <w:spacing w:before="120" w:after="120"/>
              <w:jc w:val="center"/>
              <w:rPr>
                <w:sz w:val="20"/>
                <w:szCs w:val="21"/>
              </w:rPr>
            </w:pPr>
            <w:r>
              <w:rPr>
                <w:rFonts w:hint="eastAsia"/>
                <w:sz w:val="20"/>
                <w:szCs w:val="21"/>
              </w:rPr>
              <w:t>05</w:t>
            </w:r>
          </w:p>
        </w:tc>
        <w:tc>
          <w:tcPr>
            <w:tcW w:w="953" w:type="pct"/>
            <w:noWrap w:val="0"/>
            <w:vAlign w:val="center"/>
          </w:tcPr>
          <w:p w14:paraId="6B5C1D18">
            <w:pPr>
              <w:spacing w:before="120" w:after="120"/>
              <w:jc w:val="center"/>
              <w:rPr>
                <w:sz w:val="20"/>
                <w:szCs w:val="21"/>
              </w:rPr>
            </w:pPr>
            <w:r>
              <w:rPr>
                <w:rFonts w:hint="eastAsia"/>
                <w:sz w:val="20"/>
                <w:szCs w:val="21"/>
              </w:rPr>
              <w:t>ISS walkway</w:t>
            </w:r>
          </w:p>
          <w:p w14:paraId="69A2348F">
            <w:pPr>
              <w:spacing w:before="120" w:after="120"/>
              <w:jc w:val="center"/>
              <w:rPr>
                <w:sz w:val="20"/>
                <w:szCs w:val="21"/>
              </w:rPr>
            </w:pPr>
            <w:r>
              <w:rPr>
                <w:rFonts w:hint="eastAsia"/>
                <w:sz w:val="20"/>
                <w:szCs w:val="21"/>
              </w:rPr>
              <w:t>ISS人员维护通道</w:t>
            </w:r>
          </w:p>
        </w:tc>
        <w:tc>
          <w:tcPr>
            <w:tcW w:w="696" w:type="pct"/>
            <w:noWrap w:val="0"/>
            <w:vAlign w:val="center"/>
          </w:tcPr>
          <w:p w14:paraId="03DB63D4">
            <w:pPr>
              <w:spacing w:before="120" w:after="120"/>
              <w:jc w:val="center"/>
              <w:rPr>
                <w:sz w:val="20"/>
                <w:szCs w:val="21"/>
              </w:rPr>
            </w:pPr>
            <w:r>
              <w:rPr>
                <w:rFonts w:hint="eastAsia"/>
                <w:sz w:val="20"/>
                <w:szCs w:val="21"/>
              </w:rPr>
              <w:t>SR</w:t>
            </w:r>
          </w:p>
        </w:tc>
        <w:tc>
          <w:tcPr>
            <w:tcW w:w="634" w:type="pct"/>
            <w:noWrap w:val="0"/>
            <w:vAlign w:val="center"/>
          </w:tcPr>
          <w:p w14:paraId="46261135">
            <w:pPr>
              <w:spacing w:before="120" w:after="120"/>
              <w:jc w:val="center"/>
              <w:rPr>
                <w:sz w:val="20"/>
                <w:szCs w:val="21"/>
              </w:rPr>
            </w:pPr>
            <w:r>
              <w:rPr>
                <w:rFonts w:hint="eastAsia"/>
                <w:sz w:val="20"/>
                <w:szCs w:val="21"/>
              </w:rPr>
              <w:t>Q</w:t>
            </w:r>
            <w:r>
              <w:rPr>
                <w:sz w:val="20"/>
                <w:szCs w:val="21"/>
              </w:rPr>
              <w:t>C-1</w:t>
            </w:r>
          </w:p>
        </w:tc>
        <w:tc>
          <w:tcPr>
            <w:tcW w:w="1080" w:type="pct"/>
            <w:noWrap w:val="0"/>
            <w:vAlign w:val="center"/>
          </w:tcPr>
          <w:p w14:paraId="4B3DD4BB">
            <w:pPr>
              <w:spacing w:before="120" w:after="120"/>
              <w:jc w:val="center"/>
              <w:rPr>
                <w:sz w:val="20"/>
                <w:szCs w:val="21"/>
              </w:rPr>
            </w:pPr>
            <w:r>
              <w:rPr>
                <w:sz w:val="20"/>
                <w:szCs w:val="21"/>
              </w:rPr>
              <w:t>55QCBJ.T-0</w:t>
            </w:r>
            <w:r>
              <w:rPr>
                <w:rFonts w:hint="eastAsia"/>
                <w:sz w:val="20"/>
                <w:szCs w:val="21"/>
              </w:rPr>
              <w:t>5</w:t>
            </w:r>
            <w:r>
              <w:rPr>
                <w:sz w:val="20"/>
                <w:szCs w:val="21"/>
              </w:rPr>
              <w:t>0000</w:t>
            </w:r>
          </w:p>
        </w:tc>
        <w:tc>
          <w:tcPr>
            <w:tcW w:w="1313" w:type="pct"/>
            <w:noWrap w:val="0"/>
            <w:vAlign w:val="center"/>
          </w:tcPr>
          <w:p w14:paraId="6A7308F3">
            <w:pPr>
              <w:spacing w:before="120" w:after="120"/>
              <w:jc w:val="center"/>
              <w:rPr>
                <w:sz w:val="20"/>
                <w:szCs w:val="21"/>
              </w:rPr>
            </w:pPr>
          </w:p>
        </w:tc>
      </w:tr>
      <w:tr w14:paraId="3DE2599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7" w:hRule="atLeast"/>
          <w:jc w:val="center"/>
        </w:trPr>
        <w:tc>
          <w:tcPr>
            <w:tcW w:w="5000" w:type="pct"/>
            <w:gridSpan w:val="6"/>
            <w:noWrap w:val="0"/>
            <w:vAlign w:val="center"/>
          </w:tcPr>
          <w:p w14:paraId="4625ADD4">
            <w:pPr>
              <w:spacing w:before="120" w:after="120"/>
              <w:jc w:val="center"/>
              <w:rPr>
                <w:sz w:val="20"/>
                <w:szCs w:val="21"/>
              </w:rPr>
            </w:pPr>
            <w:r>
              <w:rPr>
                <w:rFonts w:hint="eastAsia"/>
                <w:sz w:val="20"/>
                <w:szCs w:val="21"/>
              </w:rPr>
              <w:t>具体尺寸详见招标图纸。</w:t>
            </w:r>
          </w:p>
        </w:tc>
      </w:tr>
    </w:tbl>
    <w:p w14:paraId="6DB397C6">
      <w:r>
        <w:rPr>
          <w:rFonts w:hint="eastAsia"/>
        </w:rPr>
        <w:t>PCSS区域模型及部件分级如下：</w:t>
      </w:r>
    </w:p>
    <w:p w14:paraId="4DBFF0F8">
      <w:pPr>
        <w:jc w:val="center"/>
      </w:pPr>
      <w:r>
        <w:drawing>
          <wp:inline distT="0" distB="0" distL="114300" distR="114300">
            <wp:extent cx="5277485" cy="3987165"/>
            <wp:effectExtent l="0" t="0" r="10795" b="5715"/>
            <wp:docPr id="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7485" cy="398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193AF5">
      <w:pPr>
        <w:spacing w:before="120" w:after="120"/>
        <w:ind w:firstLine="420"/>
        <w:jc w:val="center"/>
      </w:pPr>
      <w:r>
        <w:rPr>
          <w:rFonts w:hint="eastAsia"/>
        </w:rPr>
        <w:t xml:space="preserve">Table.2 </w:t>
      </w:r>
      <w:r>
        <w:rPr>
          <w:szCs w:val="21"/>
        </w:rPr>
        <w:t xml:space="preserve">Basic components classifications of </w:t>
      </w:r>
      <w:r>
        <w:rPr>
          <w:rFonts w:hint="eastAsia"/>
          <w:szCs w:val="21"/>
        </w:rPr>
        <w:t>PCSS</w:t>
      </w:r>
      <w:r>
        <w:rPr>
          <w:szCs w:val="21"/>
        </w:rPr>
        <w:t xml:space="preserve"> delivery scope</w:t>
      </w:r>
    </w:p>
    <w:tbl>
      <w:tblPr>
        <w:tblStyle w:val="4"/>
        <w:tblW w:w="5000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49"/>
        <w:gridCol w:w="1628"/>
        <w:gridCol w:w="1179"/>
        <w:gridCol w:w="1081"/>
        <w:gridCol w:w="1839"/>
        <w:gridCol w:w="2246"/>
      </w:tblGrid>
      <w:tr w14:paraId="29E4AE6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22" w:type="pct"/>
            <w:shd w:val="clear" w:color="auto" w:fill="D9D9D9"/>
            <w:noWrap w:val="0"/>
            <w:vAlign w:val="center"/>
          </w:tcPr>
          <w:p w14:paraId="76FCDF0E">
            <w:pPr>
              <w:spacing w:before="120" w:after="120"/>
              <w:jc w:val="center"/>
              <w:rPr>
                <w:b/>
                <w:bCs/>
                <w:sz w:val="20"/>
                <w:szCs w:val="21"/>
              </w:rPr>
            </w:pPr>
            <w:r>
              <w:rPr>
                <w:rFonts w:hint="eastAsia"/>
                <w:b/>
                <w:bCs/>
                <w:sz w:val="20"/>
                <w:szCs w:val="21"/>
              </w:rPr>
              <w:t>序号</w:t>
            </w:r>
          </w:p>
          <w:p w14:paraId="0C4B7D1B">
            <w:pPr>
              <w:spacing w:before="120" w:after="120"/>
              <w:jc w:val="center"/>
              <w:rPr>
                <w:b/>
                <w:bCs/>
                <w:sz w:val="20"/>
                <w:szCs w:val="21"/>
              </w:rPr>
            </w:pPr>
            <w:r>
              <w:rPr>
                <w:rFonts w:hint="eastAsia"/>
                <w:b/>
                <w:bCs/>
                <w:sz w:val="20"/>
                <w:szCs w:val="21"/>
              </w:rPr>
              <w:t>N</w:t>
            </w:r>
            <w:r>
              <w:rPr>
                <w:b/>
                <w:bCs/>
                <w:sz w:val="20"/>
                <w:szCs w:val="21"/>
              </w:rPr>
              <w:t>o.</w:t>
            </w:r>
          </w:p>
        </w:tc>
        <w:tc>
          <w:tcPr>
            <w:tcW w:w="955" w:type="pct"/>
            <w:shd w:val="clear" w:color="auto" w:fill="D9D9D9"/>
            <w:noWrap w:val="0"/>
            <w:vAlign w:val="center"/>
          </w:tcPr>
          <w:p w14:paraId="62508F9A">
            <w:pPr>
              <w:spacing w:before="120" w:after="120"/>
              <w:jc w:val="center"/>
              <w:rPr>
                <w:b/>
                <w:bCs/>
                <w:sz w:val="20"/>
                <w:szCs w:val="21"/>
              </w:rPr>
            </w:pPr>
            <w:r>
              <w:rPr>
                <w:rFonts w:hint="eastAsia"/>
                <w:b/>
                <w:bCs/>
                <w:sz w:val="20"/>
                <w:szCs w:val="21"/>
              </w:rPr>
              <w:t>部组件</w:t>
            </w:r>
          </w:p>
          <w:p w14:paraId="7FCE6F98">
            <w:pPr>
              <w:spacing w:before="120" w:after="120"/>
              <w:jc w:val="center"/>
              <w:rPr>
                <w:b/>
                <w:bCs/>
                <w:sz w:val="20"/>
                <w:szCs w:val="21"/>
              </w:rPr>
            </w:pPr>
            <w:r>
              <w:rPr>
                <w:b/>
                <w:bCs/>
                <w:sz w:val="20"/>
                <w:szCs w:val="21"/>
              </w:rPr>
              <w:t>Item</w:t>
            </w:r>
          </w:p>
        </w:tc>
        <w:tc>
          <w:tcPr>
            <w:tcW w:w="692" w:type="pct"/>
            <w:shd w:val="clear" w:color="auto" w:fill="D9D9D9"/>
            <w:noWrap w:val="0"/>
            <w:vAlign w:val="center"/>
          </w:tcPr>
          <w:p w14:paraId="6546DBB6">
            <w:pPr>
              <w:spacing w:before="120" w:after="120"/>
              <w:jc w:val="center"/>
              <w:rPr>
                <w:rFonts w:hint="eastAsia"/>
                <w:b/>
                <w:bCs/>
                <w:sz w:val="20"/>
                <w:szCs w:val="21"/>
              </w:rPr>
            </w:pPr>
            <w:r>
              <w:rPr>
                <w:rFonts w:hint="eastAsia"/>
                <w:b/>
                <w:bCs/>
                <w:sz w:val="20"/>
                <w:szCs w:val="21"/>
              </w:rPr>
              <w:t>核安全等级</w:t>
            </w:r>
          </w:p>
          <w:p w14:paraId="13E72BF5">
            <w:pPr>
              <w:spacing w:before="120" w:after="120"/>
              <w:jc w:val="center"/>
              <w:rPr>
                <w:b/>
                <w:bCs/>
                <w:sz w:val="20"/>
                <w:szCs w:val="21"/>
              </w:rPr>
            </w:pPr>
            <w:r>
              <w:rPr>
                <w:rFonts w:hint="eastAsia"/>
                <w:b/>
                <w:bCs/>
                <w:sz w:val="20"/>
                <w:szCs w:val="21"/>
              </w:rPr>
              <w:t>P</w:t>
            </w:r>
            <w:r>
              <w:rPr>
                <w:b/>
                <w:bCs/>
                <w:sz w:val="20"/>
                <w:szCs w:val="21"/>
              </w:rPr>
              <w:t>IC/Safety Class</w:t>
            </w:r>
          </w:p>
        </w:tc>
        <w:tc>
          <w:tcPr>
            <w:tcW w:w="634" w:type="pct"/>
            <w:shd w:val="clear" w:color="auto" w:fill="D9D9D9"/>
            <w:noWrap w:val="0"/>
            <w:vAlign w:val="center"/>
          </w:tcPr>
          <w:p w14:paraId="2F46CE6D">
            <w:pPr>
              <w:spacing w:before="120" w:after="120"/>
              <w:jc w:val="center"/>
              <w:rPr>
                <w:b/>
                <w:bCs/>
                <w:sz w:val="20"/>
                <w:szCs w:val="21"/>
              </w:rPr>
            </w:pPr>
            <w:r>
              <w:rPr>
                <w:rFonts w:hint="eastAsia"/>
                <w:b/>
                <w:bCs/>
                <w:sz w:val="20"/>
                <w:szCs w:val="21"/>
              </w:rPr>
              <w:t>质量等级</w:t>
            </w:r>
          </w:p>
          <w:p w14:paraId="68E3B5E8">
            <w:pPr>
              <w:spacing w:before="120" w:after="120"/>
              <w:jc w:val="center"/>
              <w:rPr>
                <w:b/>
                <w:bCs/>
                <w:sz w:val="20"/>
                <w:szCs w:val="21"/>
              </w:rPr>
            </w:pPr>
            <w:r>
              <w:rPr>
                <w:rFonts w:hint="eastAsia"/>
                <w:b/>
                <w:bCs/>
                <w:sz w:val="20"/>
                <w:szCs w:val="21"/>
              </w:rPr>
              <w:t>Q</w:t>
            </w:r>
            <w:r>
              <w:rPr>
                <w:b/>
                <w:bCs/>
                <w:sz w:val="20"/>
                <w:szCs w:val="21"/>
              </w:rPr>
              <w:t>uality Class</w:t>
            </w:r>
          </w:p>
        </w:tc>
        <w:tc>
          <w:tcPr>
            <w:tcW w:w="1079" w:type="pct"/>
            <w:shd w:val="clear" w:color="auto" w:fill="D9D9D9"/>
            <w:noWrap w:val="0"/>
            <w:vAlign w:val="center"/>
          </w:tcPr>
          <w:p w14:paraId="3FC69DF3">
            <w:pPr>
              <w:jc w:val="center"/>
              <w:rPr>
                <w:b/>
                <w:bCs/>
                <w:sz w:val="20"/>
                <w:szCs w:val="21"/>
              </w:rPr>
            </w:pPr>
            <w:r>
              <w:rPr>
                <w:rFonts w:hint="eastAsia"/>
                <w:b/>
                <w:bCs/>
                <w:sz w:val="20"/>
                <w:szCs w:val="21"/>
              </w:rPr>
              <w:t>图号</w:t>
            </w:r>
          </w:p>
          <w:p w14:paraId="30905806">
            <w:pPr>
              <w:jc w:val="center"/>
              <w:rPr>
                <w:b/>
                <w:bCs/>
                <w:sz w:val="20"/>
                <w:szCs w:val="21"/>
              </w:rPr>
            </w:pPr>
            <w:r>
              <w:rPr>
                <w:rFonts w:hint="eastAsia"/>
                <w:b/>
                <w:bCs/>
                <w:sz w:val="20"/>
                <w:szCs w:val="21"/>
              </w:rPr>
              <w:t>Drawing number</w:t>
            </w:r>
          </w:p>
        </w:tc>
        <w:tc>
          <w:tcPr>
            <w:tcW w:w="1318" w:type="pct"/>
            <w:shd w:val="clear" w:color="auto" w:fill="D9D9D9"/>
            <w:noWrap w:val="0"/>
            <w:vAlign w:val="center"/>
          </w:tcPr>
          <w:p w14:paraId="032BC134">
            <w:pPr>
              <w:jc w:val="center"/>
              <w:rPr>
                <w:b/>
                <w:bCs/>
                <w:sz w:val="20"/>
                <w:szCs w:val="21"/>
              </w:rPr>
            </w:pPr>
            <w:r>
              <w:rPr>
                <w:rFonts w:hint="eastAsia"/>
                <w:b/>
                <w:bCs/>
                <w:sz w:val="20"/>
                <w:szCs w:val="21"/>
              </w:rPr>
              <w:t>备注</w:t>
            </w:r>
          </w:p>
          <w:p w14:paraId="5A61F22B">
            <w:pPr>
              <w:jc w:val="center"/>
              <w:rPr>
                <w:b/>
                <w:bCs/>
                <w:sz w:val="20"/>
                <w:szCs w:val="21"/>
              </w:rPr>
            </w:pPr>
            <w:r>
              <w:rPr>
                <w:rFonts w:hint="eastAsia"/>
                <w:b/>
                <w:bCs/>
                <w:sz w:val="20"/>
                <w:szCs w:val="21"/>
              </w:rPr>
              <w:t>Remark</w:t>
            </w:r>
          </w:p>
        </w:tc>
      </w:tr>
      <w:tr w14:paraId="4984DE6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22" w:type="pct"/>
            <w:noWrap w:val="0"/>
            <w:vAlign w:val="center"/>
          </w:tcPr>
          <w:p w14:paraId="5042B3D2">
            <w:pPr>
              <w:spacing w:before="120" w:after="120"/>
              <w:jc w:val="center"/>
              <w:rPr>
                <w:sz w:val="20"/>
                <w:szCs w:val="21"/>
              </w:rPr>
            </w:pPr>
          </w:p>
        </w:tc>
        <w:tc>
          <w:tcPr>
            <w:tcW w:w="955" w:type="pct"/>
            <w:noWrap w:val="0"/>
            <w:vAlign w:val="center"/>
          </w:tcPr>
          <w:p w14:paraId="522A700D">
            <w:pPr>
              <w:spacing w:before="120" w:after="120"/>
              <w:jc w:val="center"/>
              <w:rPr>
                <w:sz w:val="20"/>
                <w:szCs w:val="21"/>
              </w:rPr>
            </w:pPr>
            <w:r>
              <w:rPr>
                <w:rFonts w:hint="eastAsia"/>
                <w:sz w:val="20"/>
                <w:szCs w:val="21"/>
              </w:rPr>
              <w:t>PCSS assembly</w:t>
            </w:r>
          </w:p>
        </w:tc>
        <w:tc>
          <w:tcPr>
            <w:tcW w:w="692" w:type="pct"/>
            <w:noWrap w:val="0"/>
            <w:vAlign w:val="center"/>
          </w:tcPr>
          <w:p w14:paraId="7CE1C39A">
            <w:pPr>
              <w:spacing w:before="120" w:after="120"/>
              <w:jc w:val="center"/>
              <w:rPr>
                <w:sz w:val="20"/>
                <w:szCs w:val="21"/>
              </w:rPr>
            </w:pPr>
            <w:r>
              <w:rPr>
                <w:rFonts w:hint="eastAsia"/>
                <w:sz w:val="20"/>
                <w:szCs w:val="21"/>
              </w:rPr>
              <w:t>SIC-2/SR</w:t>
            </w:r>
          </w:p>
        </w:tc>
        <w:tc>
          <w:tcPr>
            <w:tcW w:w="634" w:type="pct"/>
            <w:noWrap w:val="0"/>
            <w:vAlign w:val="center"/>
          </w:tcPr>
          <w:p w14:paraId="0DC05816">
            <w:pPr>
              <w:spacing w:before="120" w:after="120"/>
              <w:jc w:val="center"/>
              <w:rPr>
                <w:sz w:val="20"/>
                <w:szCs w:val="21"/>
              </w:rPr>
            </w:pPr>
            <w:r>
              <w:rPr>
                <w:rFonts w:hint="eastAsia"/>
                <w:sz w:val="20"/>
                <w:szCs w:val="21"/>
              </w:rPr>
              <w:t>Q</w:t>
            </w:r>
            <w:r>
              <w:rPr>
                <w:sz w:val="20"/>
                <w:szCs w:val="21"/>
              </w:rPr>
              <w:t>C-1</w:t>
            </w:r>
          </w:p>
        </w:tc>
        <w:tc>
          <w:tcPr>
            <w:tcW w:w="1079" w:type="pct"/>
            <w:noWrap w:val="0"/>
            <w:vAlign w:val="center"/>
          </w:tcPr>
          <w:p w14:paraId="1F91A528">
            <w:pPr>
              <w:jc w:val="center"/>
              <w:rPr>
                <w:sz w:val="20"/>
                <w:szCs w:val="21"/>
              </w:rPr>
            </w:pPr>
            <w:r>
              <w:rPr>
                <w:sz w:val="20"/>
                <w:szCs w:val="21"/>
              </w:rPr>
              <w:t>55QCB</w:t>
            </w:r>
            <w:r>
              <w:rPr>
                <w:rFonts w:hint="eastAsia"/>
                <w:sz w:val="20"/>
                <w:szCs w:val="21"/>
              </w:rPr>
              <w:t>L</w:t>
            </w:r>
            <w:r>
              <w:rPr>
                <w:sz w:val="20"/>
                <w:szCs w:val="21"/>
              </w:rPr>
              <w:t>.T-0</w:t>
            </w:r>
            <w:r>
              <w:rPr>
                <w:rFonts w:hint="eastAsia"/>
                <w:sz w:val="20"/>
                <w:szCs w:val="21"/>
              </w:rPr>
              <w:t>0</w:t>
            </w:r>
            <w:r>
              <w:rPr>
                <w:sz w:val="20"/>
                <w:szCs w:val="21"/>
              </w:rPr>
              <w:t>0000</w:t>
            </w:r>
          </w:p>
        </w:tc>
        <w:tc>
          <w:tcPr>
            <w:tcW w:w="1318" w:type="pct"/>
            <w:noWrap w:val="0"/>
            <w:vAlign w:val="center"/>
          </w:tcPr>
          <w:p w14:paraId="7281BDDB">
            <w:pPr>
              <w:jc w:val="center"/>
              <w:rPr>
                <w:sz w:val="20"/>
                <w:szCs w:val="21"/>
              </w:rPr>
            </w:pPr>
            <w:r>
              <w:rPr>
                <w:rFonts w:hint="eastAsia"/>
                <w:sz w:val="20"/>
                <w:szCs w:val="21"/>
              </w:rPr>
              <w:t>总装图</w:t>
            </w:r>
          </w:p>
        </w:tc>
      </w:tr>
      <w:tr w14:paraId="770D898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8" w:hRule="atLeast"/>
          <w:jc w:val="center"/>
        </w:trPr>
        <w:tc>
          <w:tcPr>
            <w:tcW w:w="322" w:type="pct"/>
            <w:noWrap w:val="0"/>
            <w:vAlign w:val="center"/>
          </w:tcPr>
          <w:p w14:paraId="1994D9BE">
            <w:pPr>
              <w:spacing w:before="120" w:after="120"/>
              <w:jc w:val="center"/>
              <w:rPr>
                <w:sz w:val="20"/>
                <w:szCs w:val="21"/>
              </w:rPr>
            </w:pPr>
            <w:r>
              <w:rPr>
                <w:sz w:val="20"/>
                <w:szCs w:val="21"/>
              </w:rPr>
              <w:t>01</w:t>
            </w:r>
          </w:p>
        </w:tc>
        <w:tc>
          <w:tcPr>
            <w:tcW w:w="955" w:type="pct"/>
            <w:noWrap w:val="0"/>
            <w:vAlign w:val="center"/>
          </w:tcPr>
          <w:p w14:paraId="1A7700E2">
            <w:pPr>
              <w:spacing w:before="120" w:after="120"/>
              <w:jc w:val="center"/>
              <w:rPr>
                <w:sz w:val="20"/>
                <w:szCs w:val="21"/>
              </w:rPr>
            </w:pPr>
            <w:r>
              <w:rPr>
                <w:rFonts w:hint="eastAsia"/>
                <w:sz w:val="20"/>
                <w:szCs w:val="21"/>
              </w:rPr>
              <w:t>PCSS Chassis Assembly</w:t>
            </w:r>
          </w:p>
          <w:p w14:paraId="548BC052">
            <w:pPr>
              <w:spacing w:before="120" w:after="120"/>
              <w:jc w:val="center"/>
              <w:rPr>
                <w:sz w:val="20"/>
                <w:szCs w:val="21"/>
              </w:rPr>
            </w:pPr>
            <w:r>
              <w:rPr>
                <w:rFonts w:hint="eastAsia"/>
                <w:sz w:val="20"/>
                <w:szCs w:val="21"/>
              </w:rPr>
              <w:t>(</w:t>
            </w:r>
            <w:r>
              <w:rPr>
                <w:sz w:val="20"/>
                <w:szCs w:val="21"/>
              </w:rPr>
              <w:t>With</w:t>
            </w:r>
            <w:r>
              <w:rPr>
                <w:rFonts w:hint="eastAsia"/>
                <w:sz w:val="20"/>
                <w:szCs w:val="21"/>
              </w:rPr>
              <w:t xml:space="preserve"> bogies, </w:t>
            </w:r>
            <w:r>
              <w:rPr>
                <w:sz w:val="20"/>
                <w:szCs w:val="21"/>
              </w:rPr>
              <w:t>locking</w:t>
            </w:r>
            <w:r>
              <w:rPr>
                <w:rFonts w:hint="eastAsia"/>
                <w:sz w:val="20"/>
                <w:szCs w:val="21"/>
              </w:rPr>
              <w:t>..</w:t>
            </w:r>
            <w:r>
              <w:rPr>
                <w:sz w:val="20"/>
                <w:szCs w:val="21"/>
              </w:rPr>
              <w:t>.</w:t>
            </w:r>
            <w:r>
              <w:rPr>
                <w:rFonts w:hint="eastAsia"/>
                <w:sz w:val="20"/>
                <w:szCs w:val="21"/>
              </w:rPr>
              <w:t>)</w:t>
            </w:r>
          </w:p>
          <w:p w14:paraId="75BCD5CB">
            <w:pPr>
              <w:spacing w:before="120" w:after="120"/>
              <w:jc w:val="center"/>
              <w:rPr>
                <w:sz w:val="20"/>
                <w:szCs w:val="21"/>
              </w:rPr>
            </w:pPr>
            <w:r>
              <w:rPr>
                <w:rFonts w:hint="eastAsia"/>
                <w:sz w:val="20"/>
                <w:szCs w:val="21"/>
              </w:rPr>
              <w:t>PCSS底盘装配体（包含滚轮、锁定机构等）</w:t>
            </w:r>
          </w:p>
        </w:tc>
        <w:tc>
          <w:tcPr>
            <w:tcW w:w="692" w:type="pct"/>
            <w:noWrap w:val="0"/>
            <w:vAlign w:val="center"/>
          </w:tcPr>
          <w:p w14:paraId="4464D8EB">
            <w:pPr>
              <w:spacing w:before="120" w:after="120"/>
              <w:jc w:val="center"/>
              <w:rPr>
                <w:sz w:val="20"/>
                <w:szCs w:val="21"/>
              </w:rPr>
            </w:pPr>
            <w:r>
              <w:rPr>
                <w:rFonts w:hint="eastAsia"/>
                <w:sz w:val="20"/>
                <w:szCs w:val="21"/>
              </w:rPr>
              <w:t>SIC-2</w:t>
            </w:r>
          </w:p>
        </w:tc>
        <w:tc>
          <w:tcPr>
            <w:tcW w:w="634" w:type="pct"/>
            <w:noWrap w:val="0"/>
            <w:vAlign w:val="center"/>
          </w:tcPr>
          <w:p w14:paraId="386AD69C">
            <w:pPr>
              <w:spacing w:before="120" w:after="120"/>
              <w:jc w:val="center"/>
              <w:rPr>
                <w:sz w:val="20"/>
                <w:szCs w:val="21"/>
              </w:rPr>
            </w:pPr>
            <w:r>
              <w:rPr>
                <w:rFonts w:hint="eastAsia"/>
                <w:sz w:val="20"/>
                <w:szCs w:val="21"/>
              </w:rPr>
              <w:t>Q</w:t>
            </w:r>
            <w:r>
              <w:rPr>
                <w:sz w:val="20"/>
                <w:szCs w:val="21"/>
              </w:rPr>
              <w:t>C-1</w:t>
            </w:r>
          </w:p>
        </w:tc>
        <w:tc>
          <w:tcPr>
            <w:tcW w:w="1079" w:type="pct"/>
            <w:noWrap w:val="0"/>
            <w:vAlign w:val="center"/>
          </w:tcPr>
          <w:p w14:paraId="6CE020A6">
            <w:pPr>
              <w:spacing w:before="120" w:after="120"/>
              <w:jc w:val="center"/>
              <w:rPr>
                <w:sz w:val="20"/>
                <w:szCs w:val="21"/>
              </w:rPr>
            </w:pPr>
            <w:r>
              <w:rPr>
                <w:sz w:val="20"/>
                <w:szCs w:val="21"/>
              </w:rPr>
              <w:t>55QCB</w:t>
            </w:r>
            <w:r>
              <w:rPr>
                <w:rFonts w:hint="eastAsia"/>
                <w:sz w:val="20"/>
                <w:szCs w:val="21"/>
              </w:rPr>
              <w:t>L</w:t>
            </w:r>
            <w:r>
              <w:rPr>
                <w:sz w:val="20"/>
                <w:szCs w:val="21"/>
              </w:rPr>
              <w:t>.T-010</w:t>
            </w:r>
            <w:r>
              <w:rPr>
                <w:rFonts w:hint="eastAsia"/>
                <w:sz w:val="20"/>
                <w:szCs w:val="21"/>
              </w:rPr>
              <w:t>0</w:t>
            </w:r>
            <w:r>
              <w:rPr>
                <w:sz w:val="20"/>
                <w:szCs w:val="21"/>
              </w:rPr>
              <w:t>0</w:t>
            </w:r>
            <w:r>
              <w:rPr>
                <w:rFonts w:hint="eastAsia"/>
                <w:sz w:val="20"/>
                <w:szCs w:val="21"/>
              </w:rPr>
              <w:t>0</w:t>
            </w:r>
          </w:p>
        </w:tc>
        <w:tc>
          <w:tcPr>
            <w:tcW w:w="1318" w:type="pct"/>
            <w:noWrap w:val="0"/>
            <w:vAlign w:val="center"/>
          </w:tcPr>
          <w:p w14:paraId="008D8BE7">
            <w:pPr>
              <w:pStyle w:val="6"/>
              <w:numPr>
                <w:ilvl w:val="0"/>
                <w:numId w:val="1"/>
              </w:numPr>
              <w:spacing w:before="120" w:after="120" w:line="312" w:lineRule="auto"/>
              <w:ind w:firstLineChars="0"/>
              <w:jc w:val="center"/>
              <w:rPr>
                <w:sz w:val="20"/>
                <w:szCs w:val="21"/>
              </w:rPr>
            </w:pPr>
            <w:r>
              <w:rPr>
                <w:rFonts w:hint="eastAsia"/>
                <w:sz w:val="20"/>
                <w:szCs w:val="21"/>
              </w:rPr>
              <w:t xml:space="preserve">混凝土占位Concrete </w:t>
            </w:r>
            <w:r>
              <w:rPr>
                <w:sz w:val="20"/>
                <w:szCs w:val="21"/>
              </w:rPr>
              <w:t>Volume: ~</w:t>
            </w:r>
            <w:r>
              <w:rPr>
                <w:rFonts w:hint="eastAsia"/>
                <w:sz w:val="20"/>
                <w:szCs w:val="21"/>
              </w:rPr>
              <w:t>2.6 m</w:t>
            </w:r>
            <w:r>
              <w:rPr>
                <w:rFonts w:hint="eastAsia"/>
                <w:sz w:val="20"/>
                <w:szCs w:val="21"/>
                <w:vertAlign w:val="superscript"/>
              </w:rPr>
              <w:t>3</w:t>
            </w:r>
          </w:p>
        </w:tc>
      </w:tr>
      <w:tr w14:paraId="1DC8544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8" w:hRule="atLeast"/>
          <w:jc w:val="center"/>
        </w:trPr>
        <w:tc>
          <w:tcPr>
            <w:tcW w:w="322" w:type="pct"/>
            <w:noWrap w:val="0"/>
            <w:vAlign w:val="center"/>
          </w:tcPr>
          <w:p w14:paraId="0B339865">
            <w:pPr>
              <w:spacing w:before="120" w:after="120"/>
              <w:jc w:val="center"/>
              <w:rPr>
                <w:sz w:val="20"/>
                <w:szCs w:val="21"/>
              </w:rPr>
            </w:pPr>
            <w:r>
              <w:rPr>
                <w:rFonts w:hint="eastAsia"/>
                <w:sz w:val="20"/>
                <w:szCs w:val="21"/>
              </w:rPr>
              <w:t>02</w:t>
            </w:r>
          </w:p>
        </w:tc>
        <w:tc>
          <w:tcPr>
            <w:tcW w:w="955" w:type="pct"/>
            <w:noWrap w:val="0"/>
            <w:vAlign w:val="center"/>
          </w:tcPr>
          <w:p w14:paraId="23D88582">
            <w:pPr>
              <w:spacing w:before="120" w:after="120"/>
              <w:jc w:val="center"/>
              <w:rPr>
                <w:sz w:val="20"/>
                <w:szCs w:val="21"/>
              </w:rPr>
            </w:pPr>
            <w:r>
              <w:rPr>
                <w:rFonts w:hint="eastAsia"/>
                <w:sz w:val="20"/>
                <w:szCs w:val="21"/>
              </w:rPr>
              <w:t>PCSS Main Frame Structure</w:t>
            </w:r>
          </w:p>
          <w:p w14:paraId="03E1A79E">
            <w:pPr>
              <w:spacing w:before="120" w:after="120"/>
              <w:jc w:val="center"/>
              <w:rPr>
                <w:sz w:val="20"/>
                <w:szCs w:val="21"/>
              </w:rPr>
            </w:pPr>
            <w:r>
              <w:rPr>
                <w:rFonts w:hint="eastAsia"/>
                <w:sz w:val="20"/>
                <w:szCs w:val="21"/>
              </w:rPr>
              <w:t>PCSS主体支撑结构</w:t>
            </w:r>
          </w:p>
        </w:tc>
        <w:tc>
          <w:tcPr>
            <w:tcW w:w="692" w:type="pct"/>
            <w:noWrap w:val="0"/>
            <w:vAlign w:val="center"/>
          </w:tcPr>
          <w:p w14:paraId="0FE0E18F">
            <w:pPr>
              <w:spacing w:before="120" w:after="120"/>
              <w:jc w:val="center"/>
              <w:rPr>
                <w:sz w:val="20"/>
                <w:szCs w:val="21"/>
              </w:rPr>
            </w:pPr>
            <w:r>
              <w:rPr>
                <w:rFonts w:hint="eastAsia"/>
                <w:sz w:val="20"/>
                <w:szCs w:val="21"/>
              </w:rPr>
              <w:t>SIC-2</w:t>
            </w:r>
          </w:p>
        </w:tc>
        <w:tc>
          <w:tcPr>
            <w:tcW w:w="634" w:type="pct"/>
            <w:noWrap w:val="0"/>
            <w:vAlign w:val="center"/>
          </w:tcPr>
          <w:p w14:paraId="6495560C">
            <w:pPr>
              <w:spacing w:before="120" w:after="120"/>
              <w:jc w:val="center"/>
              <w:rPr>
                <w:sz w:val="20"/>
                <w:szCs w:val="21"/>
              </w:rPr>
            </w:pPr>
            <w:r>
              <w:rPr>
                <w:rFonts w:hint="eastAsia"/>
                <w:sz w:val="20"/>
                <w:szCs w:val="21"/>
              </w:rPr>
              <w:t>Q</w:t>
            </w:r>
            <w:r>
              <w:rPr>
                <w:sz w:val="20"/>
                <w:szCs w:val="21"/>
              </w:rPr>
              <w:t>C-1</w:t>
            </w:r>
          </w:p>
        </w:tc>
        <w:tc>
          <w:tcPr>
            <w:tcW w:w="1079" w:type="pct"/>
            <w:noWrap w:val="0"/>
            <w:vAlign w:val="center"/>
          </w:tcPr>
          <w:p w14:paraId="55219F85">
            <w:pPr>
              <w:spacing w:before="120" w:after="120"/>
              <w:jc w:val="center"/>
              <w:rPr>
                <w:sz w:val="20"/>
                <w:szCs w:val="21"/>
              </w:rPr>
            </w:pPr>
            <w:r>
              <w:rPr>
                <w:sz w:val="20"/>
                <w:szCs w:val="21"/>
              </w:rPr>
              <w:t>55QCB</w:t>
            </w:r>
            <w:r>
              <w:rPr>
                <w:rFonts w:hint="eastAsia"/>
                <w:sz w:val="20"/>
                <w:szCs w:val="21"/>
              </w:rPr>
              <w:t>L</w:t>
            </w:r>
            <w:r>
              <w:rPr>
                <w:sz w:val="20"/>
                <w:szCs w:val="21"/>
              </w:rPr>
              <w:t>.T-0</w:t>
            </w:r>
            <w:r>
              <w:rPr>
                <w:rFonts w:hint="eastAsia"/>
                <w:sz w:val="20"/>
                <w:szCs w:val="21"/>
              </w:rPr>
              <w:t>2</w:t>
            </w:r>
            <w:r>
              <w:rPr>
                <w:sz w:val="20"/>
                <w:szCs w:val="21"/>
              </w:rPr>
              <w:t>0000</w:t>
            </w:r>
          </w:p>
        </w:tc>
        <w:tc>
          <w:tcPr>
            <w:tcW w:w="1318" w:type="pct"/>
            <w:noWrap w:val="0"/>
            <w:vAlign w:val="center"/>
          </w:tcPr>
          <w:p w14:paraId="249D4AC0">
            <w:pPr>
              <w:spacing w:before="120" w:after="120"/>
              <w:jc w:val="center"/>
              <w:rPr>
                <w:sz w:val="20"/>
                <w:szCs w:val="21"/>
              </w:rPr>
            </w:pPr>
          </w:p>
        </w:tc>
      </w:tr>
      <w:tr w14:paraId="3798F5E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8" w:hRule="atLeast"/>
          <w:jc w:val="center"/>
        </w:trPr>
        <w:tc>
          <w:tcPr>
            <w:tcW w:w="322" w:type="pct"/>
            <w:noWrap w:val="0"/>
            <w:vAlign w:val="center"/>
          </w:tcPr>
          <w:p w14:paraId="7629145B">
            <w:pPr>
              <w:spacing w:before="120" w:after="120"/>
              <w:jc w:val="center"/>
              <w:rPr>
                <w:sz w:val="20"/>
                <w:szCs w:val="21"/>
              </w:rPr>
            </w:pPr>
            <w:r>
              <w:rPr>
                <w:rFonts w:hint="eastAsia"/>
                <w:sz w:val="20"/>
                <w:szCs w:val="21"/>
              </w:rPr>
              <w:t>03</w:t>
            </w:r>
          </w:p>
        </w:tc>
        <w:tc>
          <w:tcPr>
            <w:tcW w:w="955" w:type="pct"/>
            <w:noWrap w:val="0"/>
            <w:vAlign w:val="center"/>
          </w:tcPr>
          <w:p w14:paraId="795CA31E">
            <w:pPr>
              <w:spacing w:before="120" w:after="120"/>
              <w:jc w:val="center"/>
              <w:rPr>
                <w:sz w:val="20"/>
                <w:szCs w:val="21"/>
              </w:rPr>
            </w:pPr>
            <w:r>
              <w:rPr>
                <w:rFonts w:hint="eastAsia"/>
                <w:sz w:val="20"/>
                <w:szCs w:val="21"/>
              </w:rPr>
              <w:t>PCSS shielding boxes</w:t>
            </w:r>
          </w:p>
          <w:p w14:paraId="194180EE">
            <w:pPr>
              <w:spacing w:before="120" w:after="120"/>
              <w:jc w:val="center"/>
              <w:rPr>
                <w:sz w:val="20"/>
                <w:szCs w:val="21"/>
              </w:rPr>
            </w:pPr>
            <w:r>
              <w:rPr>
                <w:rFonts w:hint="eastAsia"/>
                <w:sz w:val="20"/>
                <w:szCs w:val="21"/>
              </w:rPr>
              <w:t>PCSS屏蔽盒</w:t>
            </w:r>
          </w:p>
        </w:tc>
        <w:tc>
          <w:tcPr>
            <w:tcW w:w="692" w:type="pct"/>
            <w:noWrap w:val="0"/>
            <w:vAlign w:val="center"/>
          </w:tcPr>
          <w:p w14:paraId="07034951">
            <w:pPr>
              <w:spacing w:before="120" w:after="120"/>
              <w:jc w:val="center"/>
              <w:rPr>
                <w:sz w:val="20"/>
                <w:szCs w:val="21"/>
              </w:rPr>
            </w:pPr>
            <w:r>
              <w:rPr>
                <w:rFonts w:hint="eastAsia"/>
                <w:sz w:val="20"/>
                <w:szCs w:val="21"/>
              </w:rPr>
              <w:t>S</w:t>
            </w:r>
            <w:r>
              <w:rPr>
                <w:sz w:val="20"/>
                <w:szCs w:val="21"/>
              </w:rPr>
              <w:t>R</w:t>
            </w:r>
          </w:p>
        </w:tc>
        <w:tc>
          <w:tcPr>
            <w:tcW w:w="634" w:type="pct"/>
            <w:noWrap w:val="0"/>
            <w:vAlign w:val="center"/>
          </w:tcPr>
          <w:p w14:paraId="6E00D97E">
            <w:pPr>
              <w:spacing w:before="120" w:after="120"/>
              <w:jc w:val="center"/>
              <w:rPr>
                <w:sz w:val="20"/>
                <w:szCs w:val="21"/>
              </w:rPr>
            </w:pPr>
            <w:r>
              <w:rPr>
                <w:rFonts w:hint="eastAsia"/>
                <w:sz w:val="20"/>
                <w:szCs w:val="21"/>
              </w:rPr>
              <w:t>Q</w:t>
            </w:r>
            <w:r>
              <w:rPr>
                <w:sz w:val="20"/>
                <w:szCs w:val="21"/>
              </w:rPr>
              <w:t>C-1</w:t>
            </w:r>
          </w:p>
        </w:tc>
        <w:tc>
          <w:tcPr>
            <w:tcW w:w="1079" w:type="pct"/>
            <w:noWrap w:val="0"/>
            <w:vAlign w:val="center"/>
          </w:tcPr>
          <w:p w14:paraId="4F2727D5">
            <w:pPr>
              <w:spacing w:before="120" w:after="120"/>
              <w:jc w:val="center"/>
              <w:rPr>
                <w:sz w:val="20"/>
                <w:szCs w:val="21"/>
              </w:rPr>
            </w:pPr>
            <w:r>
              <w:rPr>
                <w:sz w:val="20"/>
                <w:szCs w:val="21"/>
              </w:rPr>
              <w:t>55QCB</w:t>
            </w:r>
            <w:r>
              <w:rPr>
                <w:rFonts w:hint="eastAsia"/>
                <w:sz w:val="20"/>
                <w:szCs w:val="21"/>
              </w:rPr>
              <w:t>L</w:t>
            </w:r>
            <w:r>
              <w:rPr>
                <w:sz w:val="20"/>
                <w:szCs w:val="21"/>
              </w:rPr>
              <w:t>.T-0</w:t>
            </w:r>
            <w:r>
              <w:rPr>
                <w:rFonts w:hint="eastAsia"/>
                <w:sz w:val="20"/>
                <w:szCs w:val="21"/>
              </w:rPr>
              <w:t>3</w:t>
            </w:r>
            <w:r>
              <w:rPr>
                <w:sz w:val="20"/>
                <w:szCs w:val="21"/>
              </w:rPr>
              <w:t>0000</w:t>
            </w:r>
          </w:p>
        </w:tc>
        <w:tc>
          <w:tcPr>
            <w:tcW w:w="1318" w:type="pct"/>
            <w:noWrap w:val="0"/>
            <w:vAlign w:val="center"/>
          </w:tcPr>
          <w:p w14:paraId="39BB396C">
            <w:pPr>
              <w:pStyle w:val="6"/>
              <w:numPr>
                <w:ilvl w:val="0"/>
                <w:numId w:val="2"/>
              </w:numPr>
              <w:spacing w:before="120" w:after="120" w:line="312" w:lineRule="auto"/>
              <w:ind w:firstLineChars="0"/>
              <w:jc w:val="center"/>
              <w:rPr>
                <w:sz w:val="20"/>
                <w:szCs w:val="21"/>
              </w:rPr>
            </w:pPr>
            <w:r>
              <w:rPr>
                <w:rFonts w:hint="eastAsia"/>
                <w:sz w:val="20"/>
                <w:szCs w:val="21"/>
              </w:rPr>
              <w:t>盒体数量Box Q</w:t>
            </w:r>
            <w:r>
              <w:rPr>
                <w:sz w:val="20"/>
                <w:szCs w:val="21"/>
              </w:rPr>
              <w:t>uantit</w:t>
            </w:r>
            <w:r>
              <w:rPr>
                <w:rFonts w:hint="eastAsia"/>
                <w:sz w:val="20"/>
                <w:szCs w:val="21"/>
              </w:rPr>
              <w:t>ies: ~8 set</w:t>
            </w:r>
          </w:p>
          <w:p w14:paraId="325F5116">
            <w:pPr>
              <w:pStyle w:val="6"/>
              <w:numPr>
                <w:ilvl w:val="0"/>
                <w:numId w:val="2"/>
              </w:numPr>
              <w:spacing w:before="120" w:after="120" w:line="312" w:lineRule="auto"/>
              <w:ind w:firstLineChars="0"/>
              <w:jc w:val="center"/>
              <w:rPr>
                <w:sz w:val="20"/>
                <w:szCs w:val="21"/>
              </w:rPr>
            </w:pPr>
            <w:r>
              <w:rPr>
                <w:rFonts w:hint="eastAsia"/>
                <w:sz w:val="20"/>
                <w:szCs w:val="21"/>
              </w:rPr>
              <w:t xml:space="preserve">混凝土占位Concrete </w:t>
            </w:r>
            <w:r>
              <w:rPr>
                <w:sz w:val="20"/>
                <w:szCs w:val="21"/>
              </w:rPr>
              <w:t>Volume: ~</w:t>
            </w:r>
            <w:r>
              <w:rPr>
                <w:rFonts w:hint="eastAsia"/>
                <w:sz w:val="20"/>
                <w:szCs w:val="21"/>
              </w:rPr>
              <w:t>4.5m</w:t>
            </w:r>
            <w:r>
              <w:rPr>
                <w:rFonts w:hint="eastAsia"/>
                <w:sz w:val="20"/>
                <w:szCs w:val="21"/>
                <w:vertAlign w:val="superscript"/>
              </w:rPr>
              <w:t>3</w:t>
            </w:r>
          </w:p>
        </w:tc>
      </w:tr>
      <w:tr w14:paraId="7D30A0D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8" w:hRule="atLeast"/>
          <w:jc w:val="center"/>
        </w:trPr>
        <w:tc>
          <w:tcPr>
            <w:tcW w:w="322" w:type="pct"/>
            <w:noWrap w:val="0"/>
            <w:vAlign w:val="center"/>
          </w:tcPr>
          <w:p w14:paraId="48B05150">
            <w:pPr>
              <w:spacing w:before="120" w:after="120"/>
              <w:jc w:val="center"/>
              <w:rPr>
                <w:sz w:val="20"/>
                <w:szCs w:val="21"/>
              </w:rPr>
            </w:pPr>
            <w:r>
              <w:rPr>
                <w:rFonts w:hint="eastAsia"/>
                <w:sz w:val="20"/>
                <w:szCs w:val="21"/>
              </w:rPr>
              <w:t>04</w:t>
            </w:r>
          </w:p>
        </w:tc>
        <w:tc>
          <w:tcPr>
            <w:tcW w:w="955" w:type="pct"/>
            <w:noWrap w:val="0"/>
            <w:vAlign w:val="center"/>
          </w:tcPr>
          <w:p w14:paraId="6C3E5C18">
            <w:pPr>
              <w:spacing w:before="120" w:after="120"/>
              <w:jc w:val="center"/>
              <w:rPr>
                <w:sz w:val="20"/>
                <w:szCs w:val="21"/>
              </w:rPr>
            </w:pPr>
            <w:r>
              <w:rPr>
                <w:rFonts w:hint="eastAsia"/>
                <w:sz w:val="20"/>
                <w:szCs w:val="21"/>
              </w:rPr>
              <w:t>PCSS walkway</w:t>
            </w:r>
          </w:p>
          <w:p w14:paraId="24375CB5">
            <w:pPr>
              <w:spacing w:before="120" w:after="120"/>
              <w:jc w:val="center"/>
              <w:rPr>
                <w:sz w:val="20"/>
                <w:szCs w:val="21"/>
              </w:rPr>
            </w:pPr>
            <w:r>
              <w:rPr>
                <w:rFonts w:hint="eastAsia"/>
                <w:sz w:val="20"/>
                <w:szCs w:val="21"/>
              </w:rPr>
              <w:t>PCSS人员维护通道</w:t>
            </w:r>
          </w:p>
        </w:tc>
        <w:tc>
          <w:tcPr>
            <w:tcW w:w="692" w:type="pct"/>
            <w:noWrap w:val="0"/>
            <w:vAlign w:val="center"/>
          </w:tcPr>
          <w:p w14:paraId="5C6C3CAB">
            <w:pPr>
              <w:spacing w:before="120" w:after="120"/>
              <w:jc w:val="center"/>
              <w:rPr>
                <w:sz w:val="20"/>
                <w:szCs w:val="21"/>
              </w:rPr>
            </w:pPr>
            <w:r>
              <w:rPr>
                <w:rFonts w:hint="eastAsia"/>
                <w:sz w:val="20"/>
                <w:szCs w:val="21"/>
              </w:rPr>
              <w:t>SR</w:t>
            </w:r>
          </w:p>
        </w:tc>
        <w:tc>
          <w:tcPr>
            <w:tcW w:w="634" w:type="pct"/>
            <w:noWrap w:val="0"/>
            <w:vAlign w:val="center"/>
          </w:tcPr>
          <w:p w14:paraId="35DA77F5">
            <w:pPr>
              <w:spacing w:before="120" w:after="120"/>
              <w:jc w:val="center"/>
              <w:rPr>
                <w:sz w:val="20"/>
                <w:szCs w:val="21"/>
              </w:rPr>
            </w:pPr>
            <w:r>
              <w:rPr>
                <w:rFonts w:hint="eastAsia"/>
                <w:sz w:val="20"/>
                <w:szCs w:val="21"/>
              </w:rPr>
              <w:t>Q</w:t>
            </w:r>
            <w:r>
              <w:rPr>
                <w:sz w:val="20"/>
                <w:szCs w:val="21"/>
              </w:rPr>
              <w:t>C-1</w:t>
            </w:r>
          </w:p>
        </w:tc>
        <w:tc>
          <w:tcPr>
            <w:tcW w:w="1079" w:type="pct"/>
            <w:noWrap w:val="0"/>
            <w:vAlign w:val="center"/>
          </w:tcPr>
          <w:p w14:paraId="5029F682">
            <w:pPr>
              <w:spacing w:before="120" w:after="120"/>
              <w:jc w:val="center"/>
              <w:rPr>
                <w:sz w:val="20"/>
                <w:szCs w:val="21"/>
              </w:rPr>
            </w:pPr>
            <w:r>
              <w:rPr>
                <w:sz w:val="20"/>
                <w:szCs w:val="21"/>
              </w:rPr>
              <w:t>55QCB</w:t>
            </w:r>
            <w:r>
              <w:rPr>
                <w:rFonts w:hint="eastAsia"/>
                <w:sz w:val="20"/>
                <w:szCs w:val="21"/>
              </w:rPr>
              <w:t>L</w:t>
            </w:r>
            <w:r>
              <w:rPr>
                <w:sz w:val="20"/>
                <w:szCs w:val="21"/>
              </w:rPr>
              <w:t>.T-0</w:t>
            </w:r>
            <w:r>
              <w:rPr>
                <w:rFonts w:hint="eastAsia"/>
                <w:sz w:val="20"/>
                <w:szCs w:val="21"/>
              </w:rPr>
              <w:t>5</w:t>
            </w:r>
            <w:r>
              <w:rPr>
                <w:sz w:val="20"/>
                <w:szCs w:val="21"/>
              </w:rPr>
              <w:t>0000</w:t>
            </w:r>
          </w:p>
        </w:tc>
        <w:tc>
          <w:tcPr>
            <w:tcW w:w="1318" w:type="pct"/>
            <w:noWrap w:val="0"/>
            <w:vAlign w:val="center"/>
          </w:tcPr>
          <w:p w14:paraId="5995F7CA">
            <w:pPr>
              <w:spacing w:before="120" w:after="120"/>
              <w:jc w:val="center"/>
              <w:rPr>
                <w:sz w:val="20"/>
                <w:szCs w:val="21"/>
              </w:rPr>
            </w:pPr>
          </w:p>
        </w:tc>
      </w:tr>
      <w:tr w14:paraId="3749F70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7" w:hRule="atLeast"/>
          <w:jc w:val="center"/>
        </w:trPr>
        <w:tc>
          <w:tcPr>
            <w:tcW w:w="5000" w:type="pct"/>
            <w:gridSpan w:val="6"/>
            <w:noWrap w:val="0"/>
            <w:vAlign w:val="center"/>
          </w:tcPr>
          <w:p w14:paraId="39B319E6">
            <w:pPr>
              <w:spacing w:before="120" w:after="120"/>
              <w:jc w:val="center"/>
              <w:rPr>
                <w:sz w:val="20"/>
                <w:szCs w:val="21"/>
              </w:rPr>
            </w:pPr>
            <w:r>
              <w:rPr>
                <w:rFonts w:hint="eastAsia"/>
                <w:sz w:val="20"/>
                <w:szCs w:val="21"/>
              </w:rPr>
              <w:t>具体尺寸详见招标图纸。</w:t>
            </w:r>
          </w:p>
        </w:tc>
      </w:tr>
    </w:tbl>
    <w:p w14:paraId="1975708E">
      <w:pPr>
        <w:adjustRightInd w:val="0"/>
        <w:snapToGrid w:val="0"/>
        <w:spacing w:before="120" w:beforeLines="50" w:after="120" w:afterLines="50" w:line="288" w:lineRule="auto"/>
        <w:rPr>
          <w:rFonts w:hint="eastAsia"/>
          <w:b/>
          <w:sz w:val="24"/>
        </w:rPr>
      </w:pPr>
      <w:bookmarkStart w:id="0" w:name="_Toc509153917"/>
      <w:bookmarkStart w:id="1" w:name="_Toc12010815"/>
      <w:bookmarkStart w:id="2" w:name="_Toc12010788"/>
      <w:bookmarkStart w:id="3" w:name="_Toc257021215"/>
      <w:bookmarkStart w:id="4" w:name="_Toc30409514"/>
      <w:bookmarkStart w:id="5" w:name="_Toc532807472"/>
      <w:r>
        <w:rPr>
          <w:b/>
          <w:sz w:val="24"/>
        </w:rPr>
        <w:t>2</w:t>
      </w:r>
      <w:r>
        <w:rPr>
          <w:rFonts w:hint="eastAsia"/>
          <w:b/>
          <w:sz w:val="24"/>
        </w:rPr>
        <w:t>、</w:t>
      </w:r>
      <w:r>
        <w:rPr>
          <w:b/>
          <w:sz w:val="24"/>
        </w:rPr>
        <w:t>工程技术要求</w:t>
      </w:r>
      <w:bookmarkEnd w:id="0"/>
      <w:bookmarkEnd w:id="1"/>
      <w:bookmarkEnd w:id="2"/>
      <w:bookmarkEnd w:id="3"/>
      <w:bookmarkEnd w:id="4"/>
      <w:bookmarkEnd w:id="5"/>
    </w:p>
    <w:p w14:paraId="0193FD05">
      <w:pPr>
        <w:adjustRightInd w:val="0"/>
        <w:snapToGrid w:val="0"/>
        <w:spacing w:before="120" w:beforeLines="50" w:after="120" w:afterLines="50" w:line="360" w:lineRule="auto"/>
        <w:rPr>
          <w:b/>
          <w:sz w:val="24"/>
        </w:rPr>
      </w:pPr>
      <w:r>
        <w:rPr>
          <w:b/>
          <w:sz w:val="24"/>
        </w:rPr>
        <w:t>2.</w:t>
      </w:r>
      <w:r>
        <w:rPr>
          <w:rFonts w:hint="eastAsia"/>
          <w:b/>
          <w:sz w:val="24"/>
        </w:rPr>
        <w:t>1、</w:t>
      </w:r>
      <w:r>
        <w:rPr>
          <w:b/>
          <w:sz w:val="24"/>
        </w:rPr>
        <w:t>设备的主要用途及功能</w:t>
      </w:r>
    </w:p>
    <w:p w14:paraId="47AE78D6">
      <w:pPr>
        <w:spacing w:line="360" w:lineRule="auto"/>
        <w:ind w:firstLine="420"/>
        <w:rPr>
          <w:rFonts w:cs="Calibri"/>
          <w:szCs w:val="21"/>
        </w:rPr>
      </w:pPr>
      <w:r>
        <w:rPr>
          <w:rFonts w:hint="eastAsia" w:cs="Calibri"/>
          <w:szCs w:val="21"/>
        </w:rPr>
        <w:t>I</w:t>
      </w:r>
      <w:r>
        <w:rPr>
          <w:rFonts w:cs="Calibri"/>
          <w:szCs w:val="21"/>
        </w:rPr>
        <w:t>TER（国际热核聚变项目）12号</w:t>
      </w:r>
      <w:r>
        <w:rPr>
          <w:rFonts w:hint="eastAsia" w:cs="Calibri"/>
          <w:szCs w:val="21"/>
        </w:rPr>
        <w:t>诊断</w:t>
      </w:r>
      <w:r>
        <w:rPr>
          <w:rFonts w:cs="Calibri"/>
          <w:szCs w:val="21"/>
        </w:rPr>
        <w:t>窗口集成</w:t>
      </w:r>
      <w:r>
        <w:rPr>
          <w:rFonts w:hint="eastAsia" w:cs="Calibri"/>
          <w:szCs w:val="21"/>
        </w:rPr>
        <w:t>（以下简称P</w:t>
      </w:r>
      <w:r>
        <w:rPr>
          <w:rFonts w:cs="Calibri"/>
          <w:szCs w:val="21"/>
        </w:rPr>
        <w:t>I</w:t>
      </w:r>
      <w:r>
        <w:rPr>
          <w:rFonts w:hint="eastAsia" w:cs="Calibri"/>
          <w:szCs w:val="21"/>
        </w:rPr>
        <w:t>采购包）</w:t>
      </w:r>
      <w:r>
        <w:rPr>
          <w:rFonts w:cs="Calibri"/>
          <w:szCs w:val="21"/>
        </w:rPr>
        <w:t>是为</w:t>
      </w:r>
      <w:r>
        <w:rPr>
          <w:rFonts w:hint="eastAsia" w:cs="Calibri"/>
          <w:szCs w:val="21"/>
        </w:rPr>
        <w:t>各</w:t>
      </w:r>
      <w:r>
        <w:rPr>
          <w:rFonts w:cs="Calibri"/>
          <w:szCs w:val="21"/>
        </w:rPr>
        <w:t>等离子体诊断系统提供精确定位平台、中子屏蔽，并保持结构完整性以抵抗</w:t>
      </w:r>
      <w:r>
        <w:rPr>
          <w:rFonts w:hint="eastAsia" w:cs="Calibri"/>
          <w:szCs w:val="21"/>
        </w:rPr>
        <w:t>火灾</w:t>
      </w:r>
      <w:r>
        <w:rPr>
          <w:rFonts w:cs="Calibri"/>
          <w:szCs w:val="21"/>
        </w:rPr>
        <w:t>、电磁、核、地震和重力载荷。ITER装置赤道面第12号</w:t>
      </w:r>
      <w:r>
        <w:rPr>
          <w:rFonts w:hint="eastAsia" w:cs="Calibri"/>
          <w:szCs w:val="21"/>
        </w:rPr>
        <w:t>水平诊断窗口（以下简称E</w:t>
      </w:r>
      <w:r>
        <w:rPr>
          <w:rFonts w:cs="Calibri"/>
          <w:szCs w:val="21"/>
        </w:rPr>
        <w:t>Q#12</w:t>
      </w:r>
      <w:r>
        <w:rPr>
          <w:rFonts w:hint="eastAsia" w:cs="Calibri"/>
          <w:szCs w:val="21"/>
        </w:rPr>
        <w:t>）真空外侧主结构由3</w:t>
      </w:r>
      <w:r>
        <w:rPr>
          <w:rFonts w:cs="Calibri"/>
          <w:szCs w:val="21"/>
        </w:rPr>
        <w:t>16L</w:t>
      </w:r>
      <w:r>
        <w:rPr>
          <w:rFonts w:hint="eastAsia" w:cs="Calibri"/>
          <w:szCs w:val="21"/>
        </w:rPr>
        <w:t>(</w:t>
      </w:r>
      <w:r>
        <w:rPr>
          <w:rFonts w:cs="Calibri"/>
          <w:szCs w:val="21"/>
        </w:rPr>
        <w:t>N)-IG</w:t>
      </w:r>
      <w:r>
        <w:rPr>
          <w:rFonts w:hint="eastAsia" w:cs="Calibri"/>
          <w:szCs w:val="21"/>
        </w:rPr>
        <w:t>不锈钢栓接或焊接而成，内部浇筑重硼型混凝土。真空外侧整体部件的定级为SIC-2（核安全部件2类），其采购和加工需满足ITER组织核安全要求。图1为EQ#12真空外侧的结构图。</w:t>
      </w:r>
    </w:p>
    <w:p w14:paraId="527B1F25">
      <w:pPr>
        <w:adjustRightInd w:val="0"/>
        <w:snapToGrid w:val="0"/>
        <w:spacing w:before="120" w:beforeLines="50" w:after="120" w:afterLines="50"/>
        <w:ind w:firstLine="400"/>
        <w:jc w:val="center"/>
        <w:rPr>
          <w:rFonts w:cs="Calibri"/>
          <w:sz w:val="20"/>
          <w:szCs w:val="21"/>
        </w:rPr>
      </w:pPr>
      <w:r>
        <w:rPr>
          <w:rFonts w:cs="Calibri"/>
          <w:sz w:val="20"/>
          <w:szCs w:val="21"/>
        </w:rPr>
        <w:drawing>
          <wp:inline distT="0" distB="0" distL="114300" distR="114300">
            <wp:extent cx="3950970" cy="2956560"/>
            <wp:effectExtent l="0" t="0" r="11430" b="0"/>
            <wp:docPr id="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950970" cy="2956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DC187E">
      <w:pPr>
        <w:adjustRightInd w:val="0"/>
        <w:snapToGrid w:val="0"/>
        <w:spacing w:before="120" w:beforeLines="50" w:after="120" w:afterLines="50"/>
        <w:ind w:firstLine="400"/>
        <w:jc w:val="center"/>
        <w:rPr>
          <w:rFonts w:hint="eastAsia" w:cs="Calibri"/>
          <w:sz w:val="20"/>
          <w:szCs w:val="21"/>
        </w:rPr>
      </w:pPr>
      <w:r>
        <w:rPr>
          <w:rFonts w:hint="eastAsia" w:cs="Calibri"/>
          <w:sz w:val="20"/>
          <w:szCs w:val="21"/>
        </w:rPr>
        <w:t>图1. EQ#12真空外侧结构</w:t>
      </w:r>
    </w:p>
    <w:p w14:paraId="3612D2DD">
      <w:pPr>
        <w:spacing w:line="360" w:lineRule="auto"/>
        <w:ind w:left="210" w:leftChars="100" w:firstLine="210" w:firstLineChars="100"/>
      </w:pPr>
      <w:r>
        <w:rPr>
          <w:rFonts w:hint="eastAsia"/>
        </w:rPr>
        <w:t>本次招标的范围为真空外侧的关键工艺预研及Interspace structure （ISS）与Port Cell support Structure (PCSS)部件生产制造。本次招标的供应商主要负责ISS与PCSS部件钢结构的生产制造及总体装配和运输等，重硼混凝土和型材的生产由甲方另指定的供应商负责</w:t>
      </w:r>
      <w:r>
        <w:rPr>
          <w:rFonts w:hint="eastAsia"/>
          <w:b/>
          <w:bCs/>
        </w:rPr>
        <w:t>，接口关系如下：</w:t>
      </w:r>
    </w:p>
    <w:p w14:paraId="05F44372">
      <w:pPr>
        <w:widowControl/>
        <w:spacing w:before="120" w:beforeLines="50" w:after="120" w:afterLines="50" w:line="288" w:lineRule="auto"/>
        <w:ind w:firstLine="420" w:firstLineChars="200"/>
      </w:pPr>
      <w:r>
        <w:drawing>
          <wp:inline distT="0" distB="0" distL="114300" distR="114300">
            <wp:extent cx="5273040" cy="2137410"/>
            <wp:effectExtent l="0" t="0" r="0" b="1143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137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C5F2FF">
      <w:pPr>
        <w:spacing w:line="360" w:lineRule="auto"/>
        <w:ind w:firstLine="420"/>
      </w:pPr>
      <w:r>
        <w:rPr>
          <w:rFonts w:hint="eastAsia"/>
        </w:rPr>
        <w:t>真空外侧ISS与PCSS结构的主体设计已经基本完成，但是距离落地加工还需进行关键工艺研制和可行性验证，同时，真空外侧集成了7个子诊断系统，随着子系统的接口变更，在正式生产阶段仍存在部分设计变动，乙方应配合甲方完善模型及图纸直至接口固化（固化结束日期预计为MRR召开日期）。</w:t>
      </w:r>
    </w:p>
    <w:p w14:paraId="2E690ECF">
      <w:pPr>
        <w:spacing w:line="360" w:lineRule="auto"/>
        <w:ind w:firstLine="420"/>
      </w:pPr>
      <w:r>
        <w:rPr>
          <w:rFonts w:hint="eastAsia"/>
        </w:rPr>
        <w:t>本次招标内容分为以下两个部分：</w:t>
      </w:r>
    </w:p>
    <w:p w14:paraId="341C8AA1">
      <w:pPr>
        <w:pStyle w:val="6"/>
        <w:numPr>
          <w:ilvl w:val="3"/>
          <w:numId w:val="0"/>
        </w:numPr>
        <w:spacing w:line="360" w:lineRule="auto"/>
        <w:ind w:firstLine="422" w:firstLineChars="200"/>
        <w:rPr>
          <w:b/>
          <w:bCs/>
        </w:rPr>
      </w:pPr>
      <w:r>
        <w:rPr>
          <w:rFonts w:hint="eastAsia"/>
          <w:b/>
          <w:bCs/>
        </w:rPr>
        <w:t>关键工艺预研及MRR评审，主要包含：</w:t>
      </w:r>
    </w:p>
    <w:p w14:paraId="0B79FEA5">
      <w:pPr>
        <w:pStyle w:val="6"/>
        <w:numPr>
          <w:ilvl w:val="0"/>
          <w:numId w:val="4"/>
        </w:numPr>
        <w:spacing w:line="360" w:lineRule="auto"/>
        <w:ind w:firstLineChars="0"/>
      </w:pPr>
      <w:r>
        <w:rPr>
          <w:rFonts w:hint="eastAsia"/>
        </w:rPr>
        <w:t>依据接口系统需求、生产及焊接工艺对整体结构设计进一步优化，完成三维模型更新及二维图纸出具（详见2.4.3.1章节）；</w:t>
      </w:r>
    </w:p>
    <w:p w14:paraId="0C50C327">
      <w:pPr>
        <w:pStyle w:val="6"/>
        <w:numPr>
          <w:ilvl w:val="0"/>
          <w:numId w:val="4"/>
        </w:numPr>
        <w:spacing w:line="360" w:lineRule="auto"/>
        <w:ind w:firstLineChars="0"/>
      </w:pPr>
      <w:r>
        <w:rPr>
          <w:rFonts w:hint="eastAsia"/>
        </w:rPr>
        <w:t>统计模型，对于真空外侧所涉及到的手工TIG焊接工艺，需要按照甲方及ITER组织的要求完成相关焊接工艺评定（详见2.4.3.2章节）；</w:t>
      </w:r>
    </w:p>
    <w:p w14:paraId="2FE43BB0">
      <w:pPr>
        <w:pStyle w:val="6"/>
        <w:numPr>
          <w:ilvl w:val="0"/>
          <w:numId w:val="4"/>
        </w:numPr>
        <w:spacing w:line="360" w:lineRule="auto"/>
        <w:ind w:firstLineChars="0"/>
      </w:pPr>
      <w:r>
        <w:rPr>
          <w:rFonts w:hint="eastAsia"/>
        </w:rPr>
        <w:t>识别关键接口位置及加工部件，设计合理的认证件验证其加工、焊接、振动消应力、吊装等关键工序、配合验证混凝土浇筑工艺，检测关键部件变形情况（详见2.4.3.3章节）；</w:t>
      </w:r>
    </w:p>
    <w:p w14:paraId="0F1B7CCD">
      <w:pPr>
        <w:pStyle w:val="6"/>
        <w:numPr>
          <w:ilvl w:val="0"/>
          <w:numId w:val="4"/>
        </w:numPr>
        <w:spacing w:line="360" w:lineRule="auto"/>
        <w:ind w:firstLineChars="0"/>
      </w:pPr>
      <w:r>
        <w:rPr>
          <w:rFonts w:hint="eastAsia"/>
        </w:rPr>
        <w:t>滚轮等功能件由于是ITER首件，需要采取合适的方式制作认证件，检测其功能设计（详见2.4.3.3章节）；</w:t>
      </w:r>
    </w:p>
    <w:p w14:paraId="0AC7A379">
      <w:pPr>
        <w:pStyle w:val="6"/>
        <w:numPr>
          <w:ilvl w:val="0"/>
          <w:numId w:val="4"/>
        </w:numPr>
        <w:spacing w:line="360" w:lineRule="auto"/>
        <w:ind w:firstLineChars="0"/>
      </w:pPr>
      <w:r>
        <w:rPr>
          <w:rFonts w:hint="eastAsia"/>
        </w:rPr>
        <w:t>完成ISS与PCSS部件所需的焊接工装、混凝土浇筑工装和吊装工装等设计和分析（详见2.4.3.3章节）；</w:t>
      </w:r>
    </w:p>
    <w:p w14:paraId="6117C8F4">
      <w:pPr>
        <w:pStyle w:val="6"/>
        <w:numPr>
          <w:ilvl w:val="0"/>
          <w:numId w:val="4"/>
        </w:numPr>
        <w:spacing w:line="360" w:lineRule="auto"/>
        <w:ind w:firstLineChars="0"/>
      </w:pPr>
      <w:r>
        <w:rPr>
          <w:rFonts w:hint="eastAsia"/>
        </w:rPr>
        <w:t>协助甲方通过MRR评审（详见</w:t>
      </w:r>
      <w:r>
        <w:t>2.4.5</w:t>
      </w:r>
      <w:r>
        <w:rPr>
          <w:rFonts w:hint="eastAsia"/>
        </w:rPr>
        <w:t>），完成加工、焊接、检测、吊装、装配、清洗、标识、包装、运输等符合ITER组织要求的工艺规程；完成ISS、PCSS部件装配指导书，ISS、PCSS部件ITER现场拆包指导书，ISS、PCSS部件ITER现场安装指导书，ISS与PCSS区域子系统安装指导书等相关规程文件。所有文件应为中英文版本。</w:t>
      </w:r>
    </w:p>
    <w:p w14:paraId="7089743F">
      <w:pPr>
        <w:pStyle w:val="6"/>
        <w:numPr>
          <w:ilvl w:val="0"/>
          <w:numId w:val="4"/>
        </w:numPr>
        <w:spacing w:line="360" w:lineRule="auto"/>
        <w:ind w:firstLineChars="0"/>
      </w:pPr>
      <w:r>
        <w:rPr>
          <w:rFonts w:hint="eastAsia"/>
        </w:rPr>
        <w:t>提前采购ISS、PCSS部件所需的、符合ITER组织规范的原材料或成品，包含但不限于：316L(N)-IG，S660，</w:t>
      </w:r>
      <w:r>
        <w:t>CuAl10Ni5Fe4</w:t>
      </w:r>
      <w:r>
        <w:rPr>
          <w:rFonts w:hint="eastAsia"/>
        </w:rPr>
        <w:t>等材料。（不包含所需的型材，型材由甲方提供标准件）</w:t>
      </w:r>
    </w:p>
    <w:p w14:paraId="4D64E940">
      <w:pPr>
        <w:pStyle w:val="6"/>
        <w:numPr>
          <w:ilvl w:val="3"/>
          <w:numId w:val="0"/>
        </w:numPr>
        <w:spacing w:line="360" w:lineRule="auto"/>
        <w:ind w:firstLine="422" w:firstLineChars="200"/>
        <w:rPr>
          <w:b/>
          <w:bCs/>
        </w:rPr>
      </w:pPr>
      <w:r>
        <w:rPr>
          <w:rFonts w:hint="eastAsia"/>
          <w:b/>
          <w:bCs/>
        </w:rPr>
        <w:t>ISS</w:t>
      </w:r>
      <w:r>
        <w:rPr>
          <w:rFonts w:hint="eastAsia"/>
        </w:rPr>
        <w:t>、</w:t>
      </w:r>
      <w:r>
        <w:rPr>
          <w:rFonts w:hint="eastAsia"/>
          <w:b/>
          <w:bCs/>
        </w:rPr>
        <w:t>PCSS部件的生产制造，主要包含：</w:t>
      </w:r>
    </w:p>
    <w:p w14:paraId="5BEF91AB">
      <w:pPr>
        <w:pStyle w:val="6"/>
        <w:numPr>
          <w:ilvl w:val="0"/>
          <w:numId w:val="5"/>
        </w:numPr>
        <w:spacing w:line="360" w:lineRule="auto"/>
        <w:ind w:firstLineChars="0"/>
      </w:pPr>
      <w:r>
        <w:rPr>
          <w:rFonts w:hint="eastAsia"/>
        </w:rPr>
        <w:t>配合甲方优化结构设计，转化三维模型为生产及工艺图纸，并通过甲方及ITER组织批准；</w:t>
      </w:r>
    </w:p>
    <w:p w14:paraId="4FA859AC">
      <w:pPr>
        <w:pStyle w:val="6"/>
        <w:numPr>
          <w:ilvl w:val="0"/>
          <w:numId w:val="5"/>
        </w:numPr>
        <w:spacing w:line="360" w:lineRule="auto"/>
        <w:ind w:firstLineChars="0"/>
      </w:pPr>
      <w:r>
        <w:rPr>
          <w:rFonts w:hint="eastAsia"/>
        </w:rPr>
        <w:t>采取符合ITER组织要求的加工、焊接、检测、吊装、装配、清洗、标识、包装、运输等工艺进行ISS、PCSS部件制造；</w:t>
      </w:r>
    </w:p>
    <w:p w14:paraId="327F172C">
      <w:pPr>
        <w:pStyle w:val="6"/>
        <w:numPr>
          <w:ilvl w:val="0"/>
          <w:numId w:val="5"/>
        </w:numPr>
        <w:spacing w:line="360" w:lineRule="auto"/>
        <w:ind w:firstLineChars="0"/>
      </w:pPr>
      <w:r>
        <w:rPr>
          <w:rFonts w:hint="eastAsia"/>
        </w:rPr>
        <w:t>配合混凝土供应商完成混凝土相关钢结构的浇筑制造；</w:t>
      </w:r>
    </w:p>
    <w:p w14:paraId="306D6574">
      <w:pPr>
        <w:pStyle w:val="6"/>
        <w:numPr>
          <w:ilvl w:val="0"/>
          <w:numId w:val="5"/>
        </w:numPr>
        <w:spacing w:line="360" w:lineRule="auto"/>
        <w:ind w:firstLineChars="0"/>
      </w:pPr>
      <w:r>
        <w:rPr>
          <w:rFonts w:hint="eastAsia"/>
        </w:rPr>
        <w:t>完成ISS、PCSS部件的预装配及FAT检测；</w:t>
      </w:r>
    </w:p>
    <w:p w14:paraId="64CCFBA3">
      <w:pPr>
        <w:pStyle w:val="6"/>
        <w:numPr>
          <w:ilvl w:val="0"/>
          <w:numId w:val="5"/>
        </w:numPr>
        <w:spacing w:line="360" w:lineRule="auto"/>
        <w:ind w:firstLineChars="0"/>
      </w:pPr>
      <w:r>
        <w:rPr>
          <w:rFonts w:hint="eastAsia"/>
        </w:rPr>
        <w:t>负责ISS、PCSS区域海运（至ITER现场）的包装设计、分析及加工制造（乙方无需负责国际运费）。</w:t>
      </w:r>
    </w:p>
    <w:p w14:paraId="12A49990">
      <w:pPr>
        <w:pStyle w:val="6"/>
        <w:spacing w:line="360" w:lineRule="auto"/>
        <w:rPr>
          <w:rFonts w:hint="eastAsia"/>
        </w:rPr>
      </w:pPr>
      <w:r>
        <w:rPr>
          <w:rFonts w:hint="eastAsia"/>
        </w:rPr>
        <w:t>基于此，PI拟寻找合适可靠的供应商，完成针对EQ#12 ISS及 PCSS部件的关键工艺研制以及后续的加工制造。</w:t>
      </w:r>
    </w:p>
    <w:p w14:paraId="5F3267ED">
      <w:bookmarkStart w:id="6" w:name="_GoBack"/>
      <w:bookmarkEnd w:id="6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474798D"/>
    <w:multiLevelType w:val="multilevel"/>
    <w:tmpl w:val="0474798D"/>
    <w:lvl w:ilvl="0" w:tentative="0">
      <w:start w:val="1"/>
      <w:numFmt w:val="bullet"/>
      <w:lvlText w:val=""/>
      <w:lvlJc w:val="left"/>
      <w:pPr>
        <w:ind w:left="440" w:hanging="44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80" w:hanging="44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320" w:hanging="44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760" w:hanging="44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200" w:hanging="44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640" w:hanging="44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080" w:hanging="44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520" w:hanging="44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960" w:hanging="440"/>
      </w:pPr>
      <w:rPr>
        <w:rFonts w:hint="default" w:ascii="Wingdings" w:hAnsi="Wingdings"/>
      </w:rPr>
    </w:lvl>
  </w:abstractNum>
  <w:abstractNum w:abstractNumId="1">
    <w:nsid w:val="0FAF6A21"/>
    <w:multiLevelType w:val="multilevel"/>
    <w:tmpl w:val="0FAF6A21"/>
    <w:lvl w:ilvl="0" w:tentative="0">
      <w:start w:val="1"/>
      <w:numFmt w:val="bullet"/>
      <w:lvlText w:val=""/>
      <w:lvlJc w:val="left"/>
      <w:pPr>
        <w:ind w:left="440" w:hanging="44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80" w:hanging="44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320" w:hanging="44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760" w:hanging="44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200" w:hanging="44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640" w:hanging="44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080" w:hanging="44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520" w:hanging="44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960" w:hanging="440"/>
      </w:pPr>
      <w:rPr>
        <w:rFonts w:hint="default" w:ascii="Wingdings" w:hAnsi="Wingdings"/>
      </w:rPr>
    </w:lvl>
  </w:abstractNum>
  <w:abstractNum w:abstractNumId="2">
    <w:nsid w:val="16864F3E"/>
    <w:multiLevelType w:val="multilevel"/>
    <w:tmpl w:val="16864F3E"/>
    <w:lvl w:ilvl="0" w:tentative="0">
      <w:start w:val="1"/>
      <w:numFmt w:val="decimal"/>
      <w:lvlText w:val="(%1)"/>
      <w:lvlJc w:val="left"/>
      <w:pPr>
        <w:ind w:left="860" w:hanging="44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1300" w:hanging="440"/>
      </w:pPr>
    </w:lvl>
    <w:lvl w:ilvl="2" w:tentative="0">
      <w:start w:val="1"/>
      <w:numFmt w:val="lowerRoman"/>
      <w:lvlText w:val="%3."/>
      <w:lvlJc w:val="right"/>
      <w:pPr>
        <w:ind w:left="1740" w:hanging="440"/>
      </w:pPr>
    </w:lvl>
    <w:lvl w:ilvl="3" w:tentative="0">
      <w:start w:val="1"/>
      <w:numFmt w:val="decimal"/>
      <w:lvlText w:val="%4."/>
      <w:lvlJc w:val="left"/>
      <w:pPr>
        <w:ind w:left="2180" w:hanging="440"/>
      </w:pPr>
    </w:lvl>
    <w:lvl w:ilvl="4" w:tentative="0">
      <w:start w:val="1"/>
      <w:numFmt w:val="lowerLetter"/>
      <w:lvlText w:val="%5)"/>
      <w:lvlJc w:val="left"/>
      <w:pPr>
        <w:ind w:left="2620" w:hanging="440"/>
      </w:pPr>
    </w:lvl>
    <w:lvl w:ilvl="5" w:tentative="0">
      <w:start w:val="1"/>
      <w:numFmt w:val="lowerRoman"/>
      <w:lvlText w:val="%6."/>
      <w:lvlJc w:val="right"/>
      <w:pPr>
        <w:ind w:left="3060" w:hanging="440"/>
      </w:pPr>
    </w:lvl>
    <w:lvl w:ilvl="6" w:tentative="0">
      <w:start w:val="1"/>
      <w:numFmt w:val="decimal"/>
      <w:lvlText w:val="%7."/>
      <w:lvlJc w:val="left"/>
      <w:pPr>
        <w:ind w:left="3500" w:hanging="440"/>
      </w:pPr>
    </w:lvl>
    <w:lvl w:ilvl="7" w:tentative="0">
      <w:start w:val="1"/>
      <w:numFmt w:val="lowerLetter"/>
      <w:lvlText w:val="%8)"/>
      <w:lvlJc w:val="left"/>
      <w:pPr>
        <w:ind w:left="3940" w:hanging="440"/>
      </w:pPr>
    </w:lvl>
    <w:lvl w:ilvl="8" w:tentative="0">
      <w:start w:val="1"/>
      <w:numFmt w:val="lowerRoman"/>
      <w:lvlText w:val="%9."/>
      <w:lvlJc w:val="right"/>
      <w:pPr>
        <w:ind w:left="4380" w:hanging="440"/>
      </w:pPr>
    </w:lvl>
  </w:abstractNum>
  <w:abstractNum w:abstractNumId="3">
    <w:nsid w:val="556A050D"/>
    <w:multiLevelType w:val="multilevel"/>
    <w:tmpl w:val="556A050D"/>
    <w:lvl w:ilvl="0" w:tentative="0">
      <w:start w:val="1"/>
      <w:numFmt w:val="decimal"/>
      <w:lvlText w:val="(%1)"/>
      <w:lvlJc w:val="left"/>
      <w:pPr>
        <w:ind w:left="860" w:hanging="44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1300" w:hanging="440"/>
      </w:pPr>
    </w:lvl>
    <w:lvl w:ilvl="2" w:tentative="0">
      <w:start w:val="1"/>
      <w:numFmt w:val="lowerRoman"/>
      <w:lvlText w:val="%3."/>
      <w:lvlJc w:val="right"/>
      <w:pPr>
        <w:ind w:left="1740" w:hanging="440"/>
      </w:pPr>
    </w:lvl>
    <w:lvl w:ilvl="3" w:tentative="0">
      <w:start w:val="1"/>
      <w:numFmt w:val="decimal"/>
      <w:lvlText w:val="%4."/>
      <w:lvlJc w:val="left"/>
      <w:pPr>
        <w:ind w:left="2180" w:hanging="440"/>
      </w:pPr>
    </w:lvl>
    <w:lvl w:ilvl="4" w:tentative="0">
      <w:start w:val="1"/>
      <w:numFmt w:val="lowerLetter"/>
      <w:lvlText w:val="%5)"/>
      <w:lvlJc w:val="left"/>
      <w:pPr>
        <w:ind w:left="2620" w:hanging="440"/>
      </w:pPr>
    </w:lvl>
    <w:lvl w:ilvl="5" w:tentative="0">
      <w:start w:val="1"/>
      <w:numFmt w:val="lowerRoman"/>
      <w:lvlText w:val="%6."/>
      <w:lvlJc w:val="right"/>
      <w:pPr>
        <w:ind w:left="3060" w:hanging="440"/>
      </w:pPr>
    </w:lvl>
    <w:lvl w:ilvl="6" w:tentative="0">
      <w:start w:val="1"/>
      <w:numFmt w:val="decimal"/>
      <w:lvlText w:val="%7."/>
      <w:lvlJc w:val="left"/>
      <w:pPr>
        <w:ind w:left="3500" w:hanging="440"/>
      </w:pPr>
    </w:lvl>
    <w:lvl w:ilvl="7" w:tentative="0">
      <w:start w:val="1"/>
      <w:numFmt w:val="lowerLetter"/>
      <w:lvlText w:val="%8)"/>
      <w:lvlJc w:val="left"/>
      <w:pPr>
        <w:ind w:left="3940" w:hanging="440"/>
      </w:pPr>
    </w:lvl>
    <w:lvl w:ilvl="8" w:tentative="0">
      <w:start w:val="1"/>
      <w:numFmt w:val="lowerRoman"/>
      <w:lvlText w:val="%9."/>
      <w:lvlJc w:val="right"/>
      <w:pPr>
        <w:ind w:left="4380" w:hanging="440"/>
      </w:pPr>
    </w:lvl>
  </w:abstractNum>
  <w:abstractNum w:abstractNumId="4">
    <w:nsid w:val="5B00486D"/>
    <w:multiLevelType w:val="multilevel"/>
    <w:tmpl w:val="5B00486D"/>
    <w:lvl w:ilvl="0" w:tentative="0">
      <w:start w:val="1"/>
      <w:numFmt w:val="bullet"/>
      <w:lvlText w:val=""/>
      <w:lvlJc w:val="left"/>
      <w:pPr>
        <w:ind w:left="440" w:hanging="44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80" w:hanging="44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320" w:hanging="44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760" w:hanging="44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200" w:hanging="44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640" w:hanging="44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080" w:hanging="44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520" w:hanging="44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960" w:hanging="440"/>
      </w:pPr>
      <w:rPr>
        <w:rFonts w:hint="default" w:ascii="Wingdings" w:hAnsi="Wingdings"/>
      </w:r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7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BE03303"/>
    <w:rsid w:val="7BE033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3">
    <w:name w:val="heading 1"/>
    <w:basedOn w:val="1"/>
    <w:next w:val="1"/>
    <w:qFormat/>
    <w:uiPriority w:val="9"/>
    <w:pPr>
      <w:keepNext/>
      <w:keepLines/>
      <w:spacing w:before="340" w:beforeLines="0" w:after="330" w:afterLines="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next w:val="1"/>
    <w:qFormat/>
    <w:uiPriority w:val="0"/>
    <w:rPr>
      <w:rFonts w:eastAsia="黑体"/>
      <w:sz w:val="36"/>
    </w:rPr>
  </w:style>
  <w:style w:type="paragraph" w:styleId="6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2026-05-13T01:20:00Z</dcterms:created>
  <dc:creator>宋方方</dc:creator>
  <cp:lastModifiedBy>宋方方</cp:lastModifiedBy>
  <dcterms:modified xsi:type="dcterms:W3CDTF">2026-05-13T01:21:11Z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D4B72A9B89404D54A2FA72555D33D43D_11</vt:lpwstr>
  </property>
  <property fmtid="{D5CDD505-2E9C-101B-9397-08002B2CF9AE}" pid="4" name="KSOTemplateDocerSaveRecord">
    <vt:lpwstr>eyJoZGlkIjoiY2ZjZDI4YmRkZDY3MGZmNjNjY2JiZTFlYmI4OWM0ZWEiLCJ1c2VySWQiOiIxNzYzODEyODI4In0=</vt:lpwstr>
  </property>
</Properties>
</file>