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FD9FC">
      <w:pPr>
        <w:pStyle w:val="2"/>
        <w:widowControl/>
        <w:snapToGrid w:val="0"/>
        <w:spacing w:before="0" w:after="0" w:line="360" w:lineRule="auto"/>
        <w:jc w:val="center"/>
        <w:rPr>
          <w:rFonts w:hint="eastAsia" w:ascii="宋体" w:hAnsi="宋体"/>
          <w:color w:val="auto"/>
          <w:highlight w:val="none"/>
        </w:rPr>
      </w:pPr>
      <w:r>
        <w:rPr>
          <w:rFonts w:hint="eastAsia" w:ascii="宋体" w:hAnsi="宋体"/>
          <w:color w:val="auto"/>
          <w:highlight w:val="none"/>
        </w:rPr>
        <w:t>采购需求及技术规格要求</w:t>
      </w:r>
    </w:p>
    <w:p w14:paraId="27AADA95">
      <w:pPr>
        <w:adjustRightInd w:val="0"/>
        <w:snapToGrid w:val="0"/>
        <w:spacing w:before="120" w:beforeLines="50" w:line="360" w:lineRule="auto"/>
        <w:rPr>
          <w:b/>
          <w:color w:val="auto"/>
          <w:sz w:val="24"/>
          <w:highlight w:val="none"/>
        </w:rPr>
      </w:pPr>
      <w:bookmarkStart w:id="0" w:name="_Hlk60938700"/>
      <w:r>
        <w:rPr>
          <w:b/>
          <w:color w:val="auto"/>
          <w:sz w:val="24"/>
          <w:highlight w:val="none"/>
        </w:rPr>
        <w:t>1</w:t>
      </w:r>
      <w:r>
        <w:rPr>
          <w:rFonts w:hint="eastAsia"/>
          <w:b/>
          <w:color w:val="auto"/>
          <w:sz w:val="24"/>
          <w:highlight w:val="none"/>
        </w:rPr>
        <w:t>、</w:t>
      </w:r>
      <w:r>
        <w:rPr>
          <w:b/>
          <w:color w:val="auto"/>
          <w:sz w:val="24"/>
          <w:highlight w:val="none"/>
        </w:rPr>
        <w:t>货物需求一览表</w:t>
      </w:r>
    </w:p>
    <w:tbl>
      <w:tblPr>
        <w:tblStyle w:val="3"/>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3378"/>
        <w:gridCol w:w="1239"/>
        <w:gridCol w:w="3998"/>
      </w:tblGrid>
      <w:tr w14:paraId="2983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14:paraId="4688DA75">
            <w:pPr>
              <w:adjustRightInd w:val="0"/>
              <w:snapToGrid w:val="0"/>
              <w:jc w:val="center"/>
              <w:rPr>
                <w:rFonts w:ascii="宋体" w:hAnsi="宋体"/>
                <w:color w:val="auto"/>
                <w:szCs w:val="21"/>
                <w:highlight w:val="none"/>
              </w:rPr>
            </w:pPr>
            <w:r>
              <w:rPr>
                <w:rFonts w:hint="eastAsia" w:ascii="宋体" w:hAnsi="宋体"/>
                <w:color w:val="auto"/>
                <w:szCs w:val="21"/>
                <w:highlight w:val="none"/>
              </w:rPr>
              <w:t>序号</w:t>
            </w:r>
          </w:p>
        </w:tc>
        <w:tc>
          <w:tcPr>
            <w:tcW w:w="3378" w:type="dxa"/>
            <w:noWrap w:val="0"/>
            <w:vAlign w:val="center"/>
          </w:tcPr>
          <w:p w14:paraId="211865BA">
            <w:pPr>
              <w:adjustRightInd w:val="0"/>
              <w:snapToGrid w:val="0"/>
              <w:jc w:val="center"/>
              <w:rPr>
                <w:rFonts w:ascii="宋体" w:hAnsi="宋体"/>
                <w:color w:val="auto"/>
                <w:szCs w:val="21"/>
                <w:highlight w:val="none"/>
              </w:rPr>
            </w:pPr>
            <w:r>
              <w:rPr>
                <w:rFonts w:hint="eastAsia" w:ascii="宋体" w:hAnsi="宋体"/>
                <w:color w:val="auto"/>
                <w:szCs w:val="21"/>
                <w:highlight w:val="none"/>
              </w:rPr>
              <w:t>货物名称</w:t>
            </w:r>
          </w:p>
        </w:tc>
        <w:tc>
          <w:tcPr>
            <w:tcW w:w="1239" w:type="dxa"/>
            <w:noWrap w:val="0"/>
            <w:vAlign w:val="center"/>
          </w:tcPr>
          <w:p w14:paraId="17E442FA">
            <w:pPr>
              <w:adjustRightInd w:val="0"/>
              <w:snapToGrid w:val="0"/>
              <w:jc w:val="center"/>
              <w:rPr>
                <w:rFonts w:ascii="宋体" w:hAnsi="宋体"/>
                <w:color w:val="auto"/>
                <w:szCs w:val="21"/>
                <w:highlight w:val="none"/>
              </w:rPr>
            </w:pPr>
            <w:r>
              <w:rPr>
                <w:rFonts w:hint="eastAsia" w:ascii="宋体" w:hAnsi="宋体"/>
                <w:color w:val="auto"/>
                <w:szCs w:val="21"/>
                <w:highlight w:val="none"/>
              </w:rPr>
              <w:t>数量</w:t>
            </w:r>
          </w:p>
        </w:tc>
        <w:tc>
          <w:tcPr>
            <w:tcW w:w="3998" w:type="dxa"/>
            <w:noWrap w:val="0"/>
            <w:vAlign w:val="center"/>
          </w:tcPr>
          <w:p w14:paraId="1C4EAC68">
            <w:pPr>
              <w:adjustRightInd w:val="0"/>
              <w:snapToGrid w:val="0"/>
              <w:jc w:val="center"/>
              <w:rPr>
                <w:rFonts w:ascii="宋体" w:hAnsi="宋体"/>
                <w:color w:val="auto"/>
                <w:szCs w:val="21"/>
                <w:highlight w:val="none"/>
              </w:rPr>
            </w:pPr>
            <w:r>
              <w:rPr>
                <w:rFonts w:hint="eastAsia" w:ascii="宋体" w:hAnsi="宋体"/>
                <w:color w:val="auto"/>
                <w:szCs w:val="21"/>
                <w:highlight w:val="none"/>
              </w:rPr>
              <w:t>交货期</w:t>
            </w:r>
          </w:p>
        </w:tc>
      </w:tr>
      <w:tr w14:paraId="063C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4" w:type="dxa"/>
            <w:noWrap w:val="0"/>
            <w:vAlign w:val="center"/>
          </w:tcPr>
          <w:p w14:paraId="1DAC63F6">
            <w:pPr>
              <w:adjustRightInd w:val="0"/>
              <w:snapToGrid w:val="0"/>
              <w:jc w:val="center"/>
              <w:rPr>
                <w:rFonts w:ascii="宋体" w:hAnsi="宋体"/>
                <w:color w:val="auto"/>
                <w:szCs w:val="21"/>
                <w:highlight w:val="none"/>
              </w:rPr>
            </w:pPr>
            <w:r>
              <w:rPr>
                <w:rFonts w:hint="eastAsia" w:ascii="宋体" w:hAnsi="宋体"/>
                <w:color w:val="auto"/>
                <w:szCs w:val="21"/>
                <w:highlight w:val="none"/>
              </w:rPr>
              <w:t>1</w:t>
            </w:r>
          </w:p>
        </w:tc>
        <w:tc>
          <w:tcPr>
            <w:tcW w:w="3378" w:type="dxa"/>
            <w:noWrap w:val="0"/>
            <w:vAlign w:val="center"/>
          </w:tcPr>
          <w:p w14:paraId="7BE25AA4">
            <w:pPr>
              <w:adjustRightInd w:val="0"/>
              <w:snapToGrid w:val="0"/>
              <w:jc w:val="center"/>
              <w:rPr>
                <w:rFonts w:ascii="宋体" w:hAnsi="宋体"/>
                <w:color w:val="auto"/>
                <w:szCs w:val="21"/>
                <w:highlight w:val="none"/>
              </w:rPr>
            </w:pPr>
            <w:r>
              <w:rPr>
                <w:rFonts w:hint="eastAsia" w:ascii="宋体" w:hAnsi="宋体"/>
                <w:color w:val="auto"/>
                <w:szCs w:val="21"/>
                <w:highlight w:val="none"/>
              </w:rPr>
              <w:t>低温超导背场磁体系统</w:t>
            </w:r>
          </w:p>
        </w:tc>
        <w:tc>
          <w:tcPr>
            <w:tcW w:w="1239" w:type="dxa"/>
            <w:noWrap w:val="0"/>
            <w:vAlign w:val="center"/>
          </w:tcPr>
          <w:p w14:paraId="79A61CBE">
            <w:pPr>
              <w:adjustRightInd w:val="0"/>
              <w:snapToGrid w:val="0"/>
              <w:jc w:val="center"/>
              <w:rPr>
                <w:rFonts w:ascii="宋体" w:hAnsi="宋体"/>
                <w:color w:val="auto"/>
                <w:szCs w:val="21"/>
                <w:highlight w:val="none"/>
              </w:rPr>
            </w:pPr>
            <w:r>
              <w:rPr>
                <w:rFonts w:hint="eastAsia" w:ascii="宋体" w:hAnsi="宋体"/>
                <w:color w:val="auto"/>
                <w:szCs w:val="21"/>
                <w:highlight w:val="none"/>
              </w:rPr>
              <w:t>1</w:t>
            </w:r>
          </w:p>
        </w:tc>
        <w:tc>
          <w:tcPr>
            <w:tcW w:w="3998" w:type="dxa"/>
            <w:noWrap w:val="0"/>
            <w:vAlign w:val="center"/>
          </w:tcPr>
          <w:p w14:paraId="6A3A551D">
            <w:pPr>
              <w:adjustRightInd w:val="0"/>
              <w:snapToGrid w:val="0"/>
              <w:jc w:val="center"/>
              <w:rPr>
                <w:rFonts w:ascii="宋体" w:hAnsi="宋体"/>
                <w:color w:val="auto"/>
                <w:szCs w:val="21"/>
                <w:highlight w:val="none"/>
              </w:rPr>
            </w:pPr>
            <w:r>
              <w:rPr>
                <w:rFonts w:hint="eastAsia" w:ascii="宋体" w:hAnsi="宋体"/>
                <w:color w:val="auto"/>
                <w:szCs w:val="21"/>
                <w:highlight w:val="none"/>
              </w:rPr>
              <w:t>合同签订后12个月</w:t>
            </w:r>
          </w:p>
        </w:tc>
      </w:tr>
    </w:tbl>
    <w:p w14:paraId="5E2A0B4D">
      <w:pPr>
        <w:adjustRightInd w:val="0"/>
        <w:snapToGrid w:val="0"/>
        <w:spacing w:before="120" w:beforeLines="50" w:line="360" w:lineRule="auto"/>
        <w:rPr>
          <w:b/>
          <w:color w:val="auto"/>
          <w:sz w:val="24"/>
          <w:highlight w:val="none"/>
        </w:rPr>
      </w:pPr>
      <w:bookmarkStart w:id="1" w:name="_Toc257021215"/>
      <w:bookmarkStart w:id="2" w:name="_Toc12010788"/>
      <w:bookmarkStart w:id="3" w:name="_Toc532807472"/>
      <w:bookmarkStart w:id="4" w:name="_Toc30409514"/>
      <w:bookmarkStart w:id="5" w:name="_Toc12010815"/>
      <w:bookmarkStart w:id="6" w:name="_Toc509153917"/>
      <w:r>
        <w:rPr>
          <w:b/>
          <w:color w:val="auto"/>
          <w:sz w:val="24"/>
          <w:highlight w:val="none"/>
        </w:rPr>
        <w:t>2</w:t>
      </w:r>
      <w:r>
        <w:rPr>
          <w:rFonts w:hint="eastAsia"/>
          <w:b/>
          <w:color w:val="auto"/>
          <w:sz w:val="24"/>
          <w:highlight w:val="none"/>
        </w:rPr>
        <w:t>、</w:t>
      </w:r>
      <w:r>
        <w:rPr>
          <w:b/>
          <w:color w:val="auto"/>
          <w:sz w:val="24"/>
          <w:highlight w:val="none"/>
        </w:rPr>
        <w:t>工程技术要求</w:t>
      </w:r>
      <w:bookmarkEnd w:id="1"/>
      <w:bookmarkEnd w:id="2"/>
      <w:bookmarkEnd w:id="3"/>
      <w:bookmarkEnd w:id="4"/>
      <w:bookmarkEnd w:id="5"/>
      <w:bookmarkEnd w:id="6"/>
    </w:p>
    <w:p w14:paraId="4FBA824F">
      <w:pPr>
        <w:adjustRightInd w:val="0"/>
        <w:snapToGrid w:val="0"/>
        <w:spacing w:before="120" w:beforeLines="50" w:line="360" w:lineRule="auto"/>
        <w:rPr>
          <w:b/>
          <w:color w:val="auto"/>
          <w:sz w:val="24"/>
          <w:highlight w:val="none"/>
        </w:rPr>
      </w:pPr>
      <w:r>
        <w:rPr>
          <w:b/>
          <w:color w:val="auto"/>
          <w:sz w:val="24"/>
          <w:highlight w:val="none"/>
        </w:rPr>
        <w:t>2.</w:t>
      </w:r>
      <w:r>
        <w:rPr>
          <w:rFonts w:hint="eastAsia"/>
          <w:b/>
          <w:color w:val="auto"/>
          <w:sz w:val="24"/>
          <w:highlight w:val="none"/>
        </w:rPr>
        <w:t>1、简介</w:t>
      </w:r>
    </w:p>
    <w:p w14:paraId="30002F07">
      <w:pPr>
        <w:spacing w:line="360" w:lineRule="auto"/>
        <w:ind w:firstLine="489"/>
        <w:rPr>
          <w:rFonts w:ascii="宋体" w:hAnsi="宋体"/>
          <w:color w:val="auto"/>
          <w:highlight w:val="none"/>
        </w:rPr>
      </w:pPr>
      <w:r>
        <w:rPr>
          <w:rFonts w:ascii="宋体" w:hAnsi="宋体"/>
          <w:color w:val="auto"/>
          <w:highlight w:val="none"/>
        </w:rPr>
        <w:t>背场超导磁体主要用于“十四五”科教基础设施-“聚变能源关键核心装备研发能力提升”项目中的高场磁体安全服役性能测试平台，探索未来聚变堆高场磁体在复杂运行条件下的安全运行问题。背场磁体的功能是提供一个强磁场环境用于相关部件及材料的测试。</w:t>
      </w:r>
    </w:p>
    <w:p w14:paraId="67423AE1">
      <w:pPr>
        <w:adjustRightInd w:val="0"/>
        <w:snapToGrid w:val="0"/>
        <w:spacing w:before="120" w:beforeLines="50" w:line="360" w:lineRule="auto"/>
        <w:rPr>
          <w:b/>
          <w:color w:val="auto"/>
          <w:sz w:val="24"/>
          <w:highlight w:val="none"/>
        </w:rPr>
      </w:pPr>
      <w:r>
        <w:rPr>
          <w:b/>
          <w:color w:val="auto"/>
          <w:sz w:val="24"/>
          <w:highlight w:val="none"/>
        </w:rPr>
        <w:t>2.2</w:t>
      </w:r>
      <w:r>
        <w:rPr>
          <w:rFonts w:hint="eastAsia"/>
          <w:b/>
          <w:color w:val="auto"/>
          <w:sz w:val="24"/>
          <w:highlight w:val="none"/>
        </w:rPr>
        <w:t>、</w:t>
      </w:r>
      <w:r>
        <w:rPr>
          <w:b/>
          <w:color w:val="auto"/>
          <w:sz w:val="24"/>
          <w:highlight w:val="none"/>
        </w:rPr>
        <w:t xml:space="preserve"> 技术性能指标要求</w:t>
      </w:r>
    </w:p>
    <w:p w14:paraId="280359A4">
      <w:pPr>
        <w:adjustRightInd w:val="0"/>
        <w:snapToGrid w:val="0"/>
        <w:spacing w:before="120" w:beforeLines="50" w:line="360" w:lineRule="auto"/>
        <w:rPr>
          <w:b/>
          <w:color w:val="auto"/>
          <w:sz w:val="24"/>
          <w:highlight w:val="none"/>
        </w:rPr>
      </w:pPr>
      <w:r>
        <w:rPr>
          <w:rFonts w:hint="eastAsia"/>
          <w:b/>
          <w:color w:val="auto"/>
          <w:sz w:val="24"/>
          <w:highlight w:val="none"/>
        </w:rPr>
        <w:t>（1）技术参数要求</w:t>
      </w:r>
    </w:p>
    <w:p w14:paraId="6AD53353">
      <w:pPr>
        <w:pStyle w:val="5"/>
        <w:numPr>
          <w:ilvl w:val="0"/>
          <w:numId w:val="1"/>
        </w:numPr>
        <w:spacing w:line="360" w:lineRule="auto"/>
        <w:ind w:firstLineChars="0"/>
        <w:rPr>
          <w:color w:val="auto"/>
          <w:highlight w:val="none"/>
        </w:rPr>
      </w:pPr>
      <w:r>
        <w:rPr>
          <w:color w:val="auto"/>
          <w:highlight w:val="none"/>
        </w:rPr>
        <w:t>背场超导磁体（低温超导磁体）主要包括杜瓦、冷屏、氦腔、线圈绕组等部件，超导绕组由低温超导NbTi与Nb</w:t>
      </w:r>
      <w:r>
        <w:rPr>
          <w:color w:val="auto"/>
          <w:highlight w:val="none"/>
          <w:vertAlign w:val="subscript"/>
        </w:rPr>
        <w:t>3</w:t>
      </w:r>
      <w:r>
        <w:rPr>
          <w:color w:val="auto"/>
          <w:highlight w:val="none"/>
        </w:rPr>
        <w:t>Sn材料</w:t>
      </w:r>
      <w:r>
        <w:rPr>
          <w:rFonts w:hint="eastAsia"/>
          <w:color w:val="auto"/>
          <w:highlight w:val="none"/>
        </w:rPr>
        <w:t>（材料由甲方一次性提供。乙方在制造过程中如有损耗（包括测试过程中导致磁体烧毁）而造成材料不足，由乙方自行购买同型号超导材料进行补充，甲方不再提供）</w:t>
      </w:r>
    </w:p>
    <w:p w14:paraId="52CE9787">
      <w:pPr>
        <w:pStyle w:val="5"/>
        <w:numPr>
          <w:ilvl w:val="0"/>
          <w:numId w:val="1"/>
        </w:numPr>
        <w:spacing w:line="360" w:lineRule="auto"/>
        <w:ind w:firstLineChars="0"/>
        <w:rPr>
          <w:color w:val="auto"/>
          <w:highlight w:val="none"/>
        </w:rPr>
      </w:pPr>
      <w:r>
        <w:rPr>
          <w:color w:val="auto"/>
          <w:highlight w:val="none"/>
        </w:rPr>
        <w:t>磁体</w:t>
      </w:r>
      <w:r>
        <w:rPr>
          <w:rFonts w:hint="eastAsia"/>
          <w:color w:val="auto"/>
          <w:highlight w:val="none"/>
        </w:rPr>
        <w:t>杜瓦</w:t>
      </w:r>
      <w:r>
        <w:rPr>
          <w:color w:val="auto"/>
          <w:highlight w:val="none"/>
        </w:rPr>
        <w:t>内径约0.5m，外径约1.75m，高度约1.50m</w:t>
      </w:r>
      <w:r>
        <w:rPr>
          <w:rFonts w:hint="eastAsia"/>
          <w:color w:val="auto"/>
          <w:highlight w:val="none"/>
        </w:rPr>
        <w:t>。线圈上</w:t>
      </w:r>
      <w:r>
        <w:rPr>
          <w:color w:val="auto"/>
          <w:highlight w:val="none"/>
        </w:rPr>
        <w:t>最高磁场约1</w:t>
      </w:r>
      <w:r>
        <w:rPr>
          <w:rFonts w:hint="eastAsia"/>
          <w:color w:val="auto"/>
          <w:highlight w:val="none"/>
        </w:rPr>
        <w:t>2</w:t>
      </w:r>
      <w:r>
        <w:rPr>
          <w:color w:val="auto"/>
          <w:highlight w:val="none"/>
        </w:rPr>
        <w:t>T，</w:t>
      </w:r>
      <w:r>
        <w:rPr>
          <w:rFonts w:hint="eastAsia"/>
          <w:color w:val="auto"/>
          <w:highlight w:val="none"/>
        </w:rPr>
        <w:t>且中心轴线上±120mm范围内的磁场不小于10T。线圈</w:t>
      </w:r>
      <w:r>
        <w:rPr>
          <w:color w:val="auto"/>
          <w:highlight w:val="none"/>
        </w:rPr>
        <w:t>运行电流&lt; 1kA，采取液氦浸泡的冷却方式，线圈运行温度约为4.5K。</w:t>
      </w:r>
    </w:p>
    <w:p w14:paraId="447DC5D7">
      <w:pPr>
        <w:pStyle w:val="5"/>
        <w:numPr>
          <w:ilvl w:val="0"/>
          <w:numId w:val="1"/>
        </w:numPr>
        <w:spacing w:line="360" w:lineRule="auto"/>
        <w:ind w:firstLineChars="0"/>
        <w:rPr>
          <w:color w:val="auto"/>
          <w:highlight w:val="none"/>
        </w:rPr>
      </w:pPr>
      <w:r>
        <w:rPr>
          <w:rFonts w:hint="eastAsia"/>
          <w:color w:val="auto"/>
          <w:highlight w:val="none"/>
        </w:rPr>
        <w:t>该低温超导背场磁体最终将与高温超导内插磁体集成使用，因此在设计与装配过程中需要充分考虑与高温超导内插磁体的协同设计、配合集成，确保磁体在满足设计功能的前提下安全运行。</w:t>
      </w:r>
    </w:p>
    <w:p w14:paraId="5A16152D">
      <w:pPr>
        <w:pStyle w:val="5"/>
        <w:numPr>
          <w:ilvl w:val="0"/>
          <w:numId w:val="1"/>
        </w:numPr>
        <w:spacing w:line="360" w:lineRule="auto"/>
        <w:ind w:firstLineChars="0"/>
        <w:rPr>
          <w:color w:val="auto"/>
          <w:highlight w:val="none"/>
        </w:rPr>
      </w:pPr>
      <w:r>
        <w:rPr>
          <w:color w:val="auto"/>
          <w:highlight w:val="none"/>
        </w:rPr>
        <w:t>低温超导磁体杜瓦、冷屏、冷却回路组件均</w:t>
      </w:r>
      <w:r>
        <w:rPr>
          <w:rFonts w:hint="eastAsia"/>
          <w:color w:val="auto"/>
          <w:highlight w:val="none"/>
        </w:rPr>
        <w:t>采用</w:t>
      </w:r>
      <w:r>
        <w:rPr>
          <w:color w:val="auto"/>
          <w:highlight w:val="none"/>
        </w:rPr>
        <w:t>304L材料，氦腔</w:t>
      </w:r>
      <w:r>
        <w:rPr>
          <w:rFonts w:hint="eastAsia"/>
          <w:color w:val="auto"/>
          <w:highlight w:val="none"/>
        </w:rPr>
        <w:t>采用</w:t>
      </w:r>
      <w:r>
        <w:rPr>
          <w:color w:val="auto"/>
          <w:highlight w:val="none"/>
        </w:rPr>
        <w:t>316L材料。</w:t>
      </w:r>
    </w:p>
    <w:p w14:paraId="7B21D498">
      <w:pPr>
        <w:pStyle w:val="5"/>
        <w:numPr>
          <w:ilvl w:val="0"/>
          <w:numId w:val="1"/>
        </w:numPr>
        <w:spacing w:line="360" w:lineRule="auto"/>
        <w:ind w:firstLineChars="0"/>
        <w:rPr>
          <w:color w:val="auto"/>
          <w:highlight w:val="none"/>
        </w:rPr>
      </w:pPr>
      <w:r>
        <w:rPr>
          <w:rFonts w:hint="eastAsia"/>
          <w:color w:val="auto"/>
          <w:highlight w:val="none"/>
        </w:rPr>
        <w:t>完成线圈绕制、成型、焊接、装配等各类型工装夹具设计和加工。</w:t>
      </w:r>
    </w:p>
    <w:p w14:paraId="614E91C1">
      <w:pPr>
        <w:pStyle w:val="5"/>
        <w:numPr>
          <w:ilvl w:val="0"/>
          <w:numId w:val="1"/>
        </w:numPr>
        <w:spacing w:line="360" w:lineRule="auto"/>
        <w:ind w:firstLineChars="0"/>
        <w:rPr>
          <w:color w:val="auto"/>
          <w:highlight w:val="none"/>
        </w:rPr>
      </w:pPr>
      <w:r>
        <w:rPr>
          <w:rFonts w:hint="eastAsia"/>
          <w:color w:val="auto"/>
          <w:highlight w:val="none"/>
        </w:rPr>
        <w:t>需完成全部超导</w:t>
      </w:r>
      <w:r>
        <w:rPr>
          <w:color w:val="auto"/>
          <w:highlight w:val="none"/>
        </w:rPr>
        <w:t>线圈</w:t>
      </w:r>
      <w:r>
        <w:rPr>
          <w:rFonts w:hint="eastAsia"/>
          <w:color w:val="auto"/>
          <w:highlight w:val="none"/>
        </w:rPr>
        <w:t>的制作、所有结构件加工、</w:t>
      </w:r>
      <w:r>
        <w:rPr>
          <w:color w:val="auto"/>
          <w:highlight w:val="none"/>
        </w:rPr>
        <w:t>整体装配、整体加强、连接接头制作等</w:t>
      </w:r>
      <w:r>
        <w:rPr>
          <w:rFonts w:hint="eastAsia"/>
          <w:color w:val="auto"/>
          <w:highlight w:val="none"/>
        </w:rPr>
        <w:t>。</w:t>
      </w:r>
    </w:p>
    <w:p w14:paraId="67A581CD">
      <w:pPr>
        <w:pStyle w:val="5"/>
        <w:numPr>
          <w:ilvl w:val="0"/>
          <w:numId w:val="1"/>
        </w:numPr>
        <w:spacing w:line="360" w:lineRule="auto"/>
        <w:ind w:firstLineChars="0"/>
        <w:rPr>
          <w:color w:val="auto"/>
          <w:highlight w:val="none"/>
        </w:rPr>
      </w:pPr>
      <w:r>
        <w:rPr>
          <w:color w:val="auto"/>
          <w:highlight w:val="none"/>
        </w:rPr>
        <w:t>需完成两根1kA高温超导电流引线研制，并提供</w:t>
      </w:r>
      <w:r>
        <w:rPr>
          <w:rFonts w:hint="eastAsia"/>
          <w:color w:val="auto"/>
          <w:highlight w:val="none"/>
        </w:rPr>
        <w:t>77K下的载流性能</w:t>
      </w:r>
      <w:r>
        <w:rPr>
          <w:color w:val="auto"/>
          <w:highlight w:val="none"/>
        </w:rPr>
        <w:t>测试报告。</w:t>
      </w:r>
    </w:p>
    <w:p w14:paraId="7DFEE709">
      <w:pPr>
        <w:pStyle w:val="5"/>
        <w:numPr>
          <w:ilvl w:val="0"/>
          <w:numId w:val="1"/>
        </w:numPr>
        <w:spacing w:line="360" w:lineRule="auto"/>
        <w:ind w:firstLineChars="0"/>
        <w:rPr>
          <w:rFonts w:ascii="宋体" w:hAnsi="宋体"/>
          <w:color w:val="auto"/>
          <w:highlight w:val="none"/>
        </w:rPr>
      </w:pPr>
      <w:r>
        <w:rPr>
          <w:rFonts w:hint="eastAsia" w:ascii="宋体" w:hAnsi="宋体"/>
          <w:color w:val="auto"/>
          <w:highlight w:val="none"/>
        </w:rPr>
        <w:t>线圈采用卢瑟福缆绕制，因此需先制造卢瑟福缆导体。该电缆采用多根超导线制成卢瑟福缆芯，外覆高纯铜稳定体构成。</w:t>
      </w:r>
    </w:p>
    <w:p w14:paraId="5D48EB7D">
      <w:pPr>
        <w:pStyle w:val="5"/>
        <w:numPr>
          <w:ilvl w:val="0"/>
          <w:numId w:val="1"/>
        </w:numPr>
        <w:spacing w:line="360" w:lineRule="auto"/>
        <w:ind w:firstLineChars="0"/>
        <w:rPr>
          <w:color w:val="auto"/>
          <w:highlight w:val="none"/>
        </w:rPr>
      </w:pPr>
      <w:r>
        <w:rPr>
          <w:color w:val="auto"/>
          <w:highlight w:val="none"/>
        </w:rPr>
        <w:t>Nb</w:t>
      </w:r>
      <w:r>
        <w:rPr>
          <w:color w:val="auto"/>
          <w:highlight w:val="none"/>
          <w:vertAlign w:val="subscript"/>
        </w:rPr>
        <w:t>3</w:t>
      </w:r>
      <w:r>
        <w:rPr>
          <w:color w:val="auto"/>
          <w:highlight w:val="none"/>
        </w:rPr>
        <w:t>Sn</w:t>
      </w:r>
      <w:r>
        <w:rPr>
          <w:rFonts w:hint="eastAsia"/>
          <w:color w:val="auto"/>
          <w:highlight w:val="none"/>
        </w:rPr>
        <w:t>超导绕组需严格按照热处理制度进行高温</w:t>
      </w:r>
      <w:r>
        <w:rPr>
          <w:color w:val="auto"/>
          <w:highlight w:val="none"/>
        </w:rPr>
        <w:t>热处理</w:t>
      </w:r>
      <w:r>
        <w:rPr>
          <w:rFonts w:hint="eastAsia"/>
          <w:color w:val="auto"/>
          <w:highlight w:val="none"/>
        </w:rPr>
        <w:t>。</w:t>
      </w:r>
    </w:p>
    <w:p w14:paraId="5A0EBBFD">
      <w:pPr>
        <w:pStyle w:val="5"/>
        <w:numPr>
          <w:ilvl w:val="0"/>
          <w:numId w:val="1"/>
        </w:numPr>
        <w:spacing w:line="360" w:lineRule="auto"/>
        <w:ind w:firstLineChars="0"/>
        <w:rPr>
          <w:color w:val="auto"/>
          <w:highlight w:val="none"/>
        </w:rPr>
      </w:pPr>
      <w:r>
        <w:rPr>
          <w:color w:val="auto"/>
          <w:highlight w:val="none"/>
        </w:rPr>
        <w:t>所有的线圈均需要进行VPI固化以保证线圈的机械及电气强度，常温下对超导电缆打压1500V，对地绝缘电阻＞GΩ</w:t>
      </w:r>
      <w:r>
        <w:rPr>
          <w:rFonts w:hint="eastAsia"/>
          <w:color w:val="auto"/>
          <w:highlight w:val="none"/>
        </w:rPr>
        <w:t>；</w:t>
      </w:r>
      <w:r>
        <w:rPr>
          <w:color w:val="auto"/>
          <w:highlight w:val="none"/>
        </w:rPr>
        <w:t>使用匝间绝缘测试仪，对超导线圈打压1000V，同一规格线圈的振荡波形一致。</w:t>
      </w:r>
    </w:p>
    <w:p w14:paraId="59F69CB6">
      <w:pPr>
        <w:pStyle w:val="5"/>
        <w:numPr>
          <w:ilvl w:val="0"/>
          <w:numId w:val="1"/>
        </w:numPr>
        <w:spacing w:line="360" w:lineRule="auto"/>
        <w:ind w:firstLineChars="0"/>
        <w:rPr>
          <w:color w:val="auto"/>
          <w:highlight w:val="none"/>
        </w:rPr>
      </w:pPr>
      <w:r>
        <w:rPr>
          <w:rFonts w:hint="eastAsia"/>
          <w:color w:val="auto"/>
          <w:highlight w:val="none"/>
        </w:rPr>
        <w:t>需要在超导磁体内部、电流引线与超导线圈连接位置、电流引线、冷屏等位置布置温度计，其中超导线圈4</w:t>
      </w:r>
      <w:r>
        <w:rPr>
          <w:color w:val="auto"/>
          <w:highlight w:val="none"/>
        </w:rPr>
        <w:t>.5K</w:t>
      </w:r>
      <w:r>
        <w:rPr>
          <w:rFonts w:hint="eastAsia"/>
          <w:color w:val="auto"/>
          <w:highlight w:val="none"/>
        </w:rPr>
        <w:t>温度测量的温度计不少于</w:t>
      </w:r>
      <w:r>
        <w:rPr>
          <w:color w:val="auto"/>
          <w:highlight w:val="none"/>
        </w:rPr>
        <w:t>10</w:t>
      </w:r>
      <w:r>
        <w:rPr>
          <w:rFonts w:hint="eastAsia"/>
          <w:color w:val="auto"/>
          <w:highlight w:val="none"/>
        </w:rPr>
        <w:t>个。</w:t>
      </w:r>
    </w:p>
    <w:p w14:paraId="44436E3D">
      <w:pPr>
        <w:pStyle w:val="5"/>
        <w:numPr>
          <w:ilvl w:val="0"/>
          <w:numId w:val="1"/>
        </w:numPr>
        <w:spacing w:line="360" w:lineRule="auto"/>
        <w:ind w:firstLineChars="0"/>
        <w:rPr>
          <w:color w:val="auto"/>
          <w:highlight w:val="none"/>
        </w:rPr>
      </w:pPr>
      <w:r>
        <w:rPr>
          <w:rFonts w:hint="eastAsia"/>
          <w:color w:val="auto"/>
          <w:highlight w:val="none"/>
        </w:rPr>
        <w:t>需要在超导磁体内侧中间磁场最高区域环向均匀布置3个三维霍尔磁场传感器，在超导磁体内部其余区域按照固定间隔布置不少于5个三维霍尔磁场传感器。</w:t>
      </w:r>
    </w:p>
    <w:p w14:paraId="1E0C18B0">
      <w:pPr>
        <w:pStyle w:val="5"/>
        <w:numPr>
          <w:ilvl w:val="0"/>
          <w:numId w:val="1"/>
        </w:numPr>
        <w:spacing w:line="360" w:lineRule="auto"/>
        <w:ind w:firstLineChars="0"/>
        <w:rPr>
          <w:color w:val="auto"/>
          <w:highlight w:val="none"/>
        </w:rPr>
      </w:pPr>
      <w:r>
        <w:rPr>
          <w:rFonts w:hint="eastAsia"/>
          <w:color w:val="auto"/>
          <w:highlight w:val="none"/>
        </w:rPr>
        <w:t>需配合招标方开展与内插高温超导磁体的集成、调试与性能测试。</w:t>
      </w:r>
    </w:p>
    <w:p w14:paraId="407F6B9A">
      <w:pPr>
        <w:spacing w:line="360" w:lineRule="auto"/>
        <w:rPr>
          <w:b/>
          <w:bCs/>
          <w:color w:val="auto"/>
          <w:highlight w:val="none"/>
        </w:rPr>
      </w:pPr>
      <w:r>
        <w:rPr>
          <w:rFonts w:hint="eastAsia"/>
          <w:b/>
          <w:bCs/>
          <w:color w:val="auto"/>
          <w:highlight w:val="none"/>
        </w:rPr>
        <w:t>（2）文件与资料交付要求</w:t>
      </w:r>
    </w:p>
    <w:p w14:paraId="41597F6B">
      <w:pPr>
        <w:pStyle w:val="5"/>
        <w:numPr>
          <w:ilvl w:val="0"/>
          <w:numId w:val="2"/>
        </w:numPr>
        <w:spacing w:line="360" w:lineRule="auto"/>
        <w:ind w:firstLineChars="0"/>
        <w:rPr>
          <w:color w:val="auto"/>
          <w:highlight w:val="none"/>
        </w:rPr>
      </w:pPr>
      <w:r>
        <w:rPr>
          <w:rFonts w:hint="eastAsia"/>
          <w:color w:val="auto"/>
          <w:highlight w:val="none"/>
        </w:rPr>
        <w:t>设计、分析报告及三维模型；</w:t>
      </w:r>
    </w:p>
    <w:p w14:paraId="46E42EAB">
      <w:pPr>
        <w:pStyle w:val="5"/>
        <w:numPr>
          <w:ilvl w:val="0"/>
          <w:numId w:val="2"/>
        </w:numPr>
        <w:spacing w:line="360" w:lineRule="auto"/>
        <w:ind w:firstLineChars="0"/>
        <w:rPr>
          <w:color w:val="auto"/>
          <w:highlight w:val="none"/>
        </w:rPr>
      </w:pPr>
      <w:r>
        <w:rPr>
          <w:rFonts w:hint="eastAsia"/>
          <w:color w:val="auto"/>
          <w:highlight w:val="none"/>
        </w:rPr>
        <w:t>加工图纸（含修改记录及甲方确认签字）；</w:t>
      </w:r>
    </w:p>
    <w:p w14:paraId="7DB8C512">
      <w:pPr>
        <w:pStyle w:val="5"/>
        <w:numPr>
          <w:ilvl w:val="0"/>
          <w:numId w:val="2"/>
        </w:numPr>
        <w:spacing w:line="360" w:lineRule="auto"/>
        <w:ind w:firstLineChars="0"/>
        <w:rPr>
          <w:color w:val="auto"/>
          <w:highlight w:val="none"/>
        </w:rPr>
      </w:pPr>
      <w:r>
        <w:rPr>
          <w:rFonts w:hint="eastAsia"/>
          <w:color w:val="auto"/>
          <w:highlight w:val="none"/>
        </w:rPr>
        <w:t>材料质量证明书（含不锈钢材质报告、磁导率测试报告）；</w:t>
      </w:r>
    </w:p>
    <w:p w14:paraId="223C8B61">
      <w:pPr>
        <w:pStyle w:val="5"/>
        <w:numPr>
          <w:ilvl w:val="0"/>
          <w:numId w:val="2"/>
        </w:numPr>
        <w:spacing w:line="360" w:lineRule="auto"/>
        <w:ind w:firstLineChars="0"/>
        <w:rPr>
          <w:color w:val="auto"/>
          <w:highlight w:val="none"/>
        </w:rPr>
      </w:pPr>
      <w:r>
        <w:rPr>
          <w:rFonts w:hint="eastAsia"/>
          <w:color w:val="auto"/>
          <w:highlight w:val="none"/>
        </w:rPr>
        <w:t>焊接工艺规程（</w:t>
      </w:r>
      <w:r>
        <w:rPr>
          <w:color w:val="auto"/>
          <w:highlight w:val="none"/>
        </w:rPr>
        <w:t>WPS）及焊接记录；</w:t>
      </w:r>
    </w:p>
    <w:p w14:paraId="5C50506F">
      <w:pPr>
        <w:pStyle w:val="5"/>
        <w:numPr>
          <w:ilvl w:val="0"/>
          <w:numId w:val="2"/>
        </w:numPr>
        <w:spacing w:line="360" w:lineRule="auto"/>
        <w:ind w:firstLineChars="0"/>
        <w:rPr>
          <w:color w:val="auto"/>
          <w:highlight w:val="none"/>
        </w:rPr>
      </w:pPr>
      <w:r>
        <w:rPr>
          <w:rFonts w:hint="eastAsia"/>
          <w:color w:val="auto"/>
          <w:highlight w:val="none"/>
        </w:rPr>
        <w:t>无损检测报告（含影像</w:t>
      </w:r>
      <w:r>
        <w:rPr>
          <w:color w:val="auto"/>
          <w:highlight w:val="none"/>
        </w:rPr>
        <w:t>/图像存档）；</w:t>
      </w:r>
    </w:p>
    <w:p w14:paraId="36ACA8CE">
      <w:pPr>
        <w:pStyle w:val="5"/>
        <w:numPr>
          <w:ilvl w:val="0"/>
          <w:numId w:val="2"/>
        </w:numPr>
        <w:spacing w:line="360" w:lineRule="auto"/>
        <w:ind w:firstLineChars="0"/>
        <w:rPr>
          <w:color w:val="auto"/>
          <w:highlight w:val="none"/>
        </w:rPr>
      </w:pPr>
      <w:r>
        <w:rPr>
          <w:rFonts w:hint="eastAsia"/>
          <w:color w:val="auto"/>
          <w:highlight w:val="none"/>
        </w:rPr>
        <w:t>氦质谱检漏报告（整机及分部件）；</w:t>
      </w:r>
    </w:p>
    <w:p w14:paraId="0ECC2B04">
      <w:pPr>
        <w:pStyle w:val="5"/>
        <w:numPr>
          <w:ilvl w:val="0"/>
          <w:numId w:val="2"/>
        </w:numPr>
        <w:spacing w:line="360" w:lineRule="auto"/>
        <w:ind w:firstLineChars="0"/>
        <w:rPr>
          <w:color w:val="auto"/>
          <w:highlight w:val="none"/>
        </w:rPr>
      </w:pPr>
      <w:r>
        <w:rPr>
          <w:rFonts w:hint="eastAsia"/>
          <w:color w:val="auto"/>
          <w:highlight w:val="none"/>
        </w:rPr>
        <w:t>总装工艺文件、调试记录；</w:t>
      </w:r>
    </w:p>
    <w:p w14:paraId="16DE863C">
      <w:pPr>
        <w:pStyle w:val="5"/>
        <w:numPr>
          <w:ilvl w:val="0"/>
          <w:numId w:val="2"/>
        </w:numPr>
        <w:spacing w:line="360" w:lineRule="auto"/>
        <w:ind w:firstLineChars="0"/>
        <w:rPr>
          <w:color w:val="auto"/>
          <w:highlight w:val="none"/>
        </w:rPr>
      </w:pPr>
      <w:r>
        <w:rPr>
          <w:rFonts w:hint="eastAsia"/>
          <w:color w:val="auto"/>
          <w:highlight w:val="none"/>
        </w:rPr>
        <w:t>质量计划（</w:t>
      </w:r>
      <w:r>
        <w:rPr>
          <w:color w:val="auto"/>
          <w:highlight w:val="none"/>
        </w:rPr>
        <w:t>QP）、制造检验计划（MIP）；</w:t>
      </w:r>
    </w:p>
    <w:p w14:paraId="27047D0B">
      <w:pPr>
        <w:pStyle w:val="5"/>
        <w:numPr>
          <w:ilvl w:val="0"/>
          <w:numId w:val="2"/>
        </w:numPr>
        <w:spacing w:line="360" w:lineRule="auto"/>
        <w:ind w:firstLineChars="0"/>
        <w:rPr>
          <w:color w:val="auto"/>
          <w:highlight w:val="none"/>
        </w:rPr>
      </w:pPr>
      <w:r>
        <w:rPr>
          <w:rFonts w:hint="eastAsia"/>
          <w:color w:val="auto"/>
          <w:highlight w:val="none"/>
        </w:rPr>
        <w:t>出厂合格证、使用说明书、维护手册；</w:t>
      </w:r>
    </w:p>
    <w:p w14:paraId="327A57A0">
      <w:pPr>
        <w:pStyle w:val="5"/>
        <w:numPr>
          <w:ilvl w:val="1"/>
          <w:numId w:val="3"/>
        </w:numPr>
        <w:adjustRightInd w:val="0"/>
        <w:snapToGrid w:val="0"/>
        <w:spacing w:before="120" w:beforeLines="50" w:line="360" w:lineRule="auto"/>
        <w:ind w:firstLineChars="0"/>
        <w:rPr>
          <w:b/>
          <w:color w:val="auto"/>
          <w:sz w:val="24"/>
          <w:highlight w:val="none"/>
        </w:rPr>
      </w:pPr>
      <w:r>
        <w:rPr>
          <w:b/>
          <w:color w:val="auto"/>
          <w:sz w:val="24"/>
          <w:highlight w:val="none"/>
        </w:rPr>
        <w:t>验收标准及验收程序</w:t>
      </w:r>
    </w:p>
    <w:p w14:paraId="1065A9FC">
      <w:pPr>
        <w:spacing w:line="360" w:lineRule="auto"/>
        <w:ind w:left="420"/>
        <w:rPr>
          <w:b/>
          <w:bCs/>
          <w:color w:val="auto"/>
          <w:highlight w:val="none"/>
        </w:rPr>
      </w:pPr>
      <w:r>
        <w:rPr>
          <w:rFonts w:hint="eastAsia"/>
          <w:b/>
          <w:bCs/>
          <w:color w:val="auto"/>
          <w:highlight w:val="none"/>
        </w:rPr>
        <w:t>（1）分阶段验收：</w:t>
      </w:r>
    </w:p>
    <w:p w14:paraId="01A6EDAA">
      <w:pPr>
        <w:pStyle w:val="5"/>
        <w:numPr>
          <w:ilvl w:val="0"/>
          <w:numId w:val="4"/>
        </w:numPr>
        <w:spacing w:line="360" w:lineRule="auto"/>
        <w:ind w:firstLineChars="0"/>
        <w:rPr>
          <w:color w:val="auto"/>
          <w:highlight w:val="none"/>
        </w:rPr>
      </w:pPr>
      <w:r>
        <w:rPr>
          <w:rFonts w:hint="eastAsia"/>
          <w:color w:val="auto"/>
          <w:highlight w:val="none"/>
        </w:rPr>
        <w:t>出厂预验收（</w:t>
      </w:r>
      <w:r>
        <w:rPr>
          <w:color w:val="auto"/>
          <w:highlight w:val="none"/>
        </w:rPr>
        <w:t>FAT）：在制造商现场进行结构、尺寸、初步气密性检查；</w:t>
      </w:r>
    </w:p>
    <w:p w14:paraId="4D0DCD47">
      <w:pPr>
        <w:pStyle w:val="5"/>
        <w:numPr>
          <w:ilvl w:val="0"/>
          <w:numId w:val="4"/>
        </w:numPr>
        <w:spacing w:line="360" w:lineRule="auto"/>
        <w:ind w:firstLineChars="0"/>
        <w:rPr>
          <w:color w:val="auto"/>
          <w:highlight w:val="none"/>
        </w:rPr>
      </w:pPr>
      <w:r>
        <w:rPr>
          <w:rFonts w:hint="eastAsia"/>
          <w:color w:val="auto"/>
          <w:highlight w:val="none"/>
        </w:rPr>
        <w:t>到货初验：检查运输损伤、数量、外观，并完成磁体漏率测试；</w:t>
      </w:r>
    </w:p>
    <w:p w14:paraId="1D47FE5E">
      <w:pPr>
        <w:pStyle w:val="5"/>
        <w:numPr>
          <w:ilvl w:val="0"/>
          <w:numId w:val="4"/>
        </w:numPr>
        <w:spacing w:line="360" w:lineRule="auto"/>
        <w:ind w:firstLineChars="0"/>
        <w:rPr>
          <w:color w:val="auto"/>
          <w:highlight w:val="none"/>
        </w:rPr>
      </w:pPr>
      <w:r>
        <w:rPr>
          <w:rFonts w:hint="eastAsia"/>
          <w:color w:val="auto"/>
          <w:highlight w:val="none"/>
        </w:rPr>
        <w:t>测试验收：在现场进行降温测试，达到额定载流需求，超导磁体区域最高磁场不低于12</w:t>
      </w:r>
      <w:r>
        <w:rPr>
          <w:color w:val="auto"/>
          <w:highlight w:val="none"/>
        </w:rPr>
        <w:t>T</w:t>
      </w:r>
      <w:r>
        <w:rPr>
          <w:rFonts w:hint="eastAsia"/>
          <w:color w:val="auto"/>
          <w:highlight w:val="none"/>
        </w:rPr>
        <w:t>。</w:t>
      </w:r>
    </w:p>
    <w:p w14:paraId="5F9F50AD">
      <w:pPr>
        <w:spacing w:line="360" w:lineRule="auto"/>
        <w:ind w:left="420"/>
        <w:rPr>
          <w:b/>
          <w:bCs/>
          <w:color w:val="auto"/>
          <w:highlight w:val="none"/>
        </w:rPr>
      </w:pPr>
      <w:r>
        <w:rPr>
          <w:rFonts w:hint="eastAsia"/>
          <w:b/>
          <w:bCs/>
          <w:color w:val="auto"/>
          <w:highlight w:val="none"/>
        </w:rPr>
        <w:t>（2）不合格处理：</w:t>
      </w:r>
    </w:p>
    <w:p w14:paraId="2302AFCC">
      <w:pPr>
        <w:pStyle w:val="5"/>
        <w:numPr>
          <w:ilvl w:val="0"/>
          <w:numId w:val="5"/>
        </w:numPr>
        <w:spacing w:line="360" w:lineRule="auto"/>
        <w:ind w:firstLineChars="0"/>
        <w:rPr>
          <w:color w:val="auto"/>
          <w:highlight w:val="none"/>
        </w:rPr>
      </w:pPr>
      <w:r>
        <w:rPr>
          <w:rFonts w:hint="eastAsia"/>
          <w:color w:val="auto"/>
          <w:highlight w:val="none"/>
        </w:rPr>
        <w:t>若任一关键技术指标不达标，视为验收不合格；</w:t>
      </w:r>
    </w:p>
    <w:p w14:paraId="54A97B75">
      <w:pPr>
        <w:pStyle w:val="5"/>
        <w:numPr>
          <w:ilvl w:val="0"/>
          <w:numId w:val="5"/>
        </w:numPr>
        <w:spacing w:line="360" w:lineRule="auto"/>
        <w:ind w:firstLineChars="0"/>
        <w:rPr>
          <w:color w:val="auto"/>
          <w:highlight w:val="none"/>
        </w:rPr>
      </w:pPr>
      <w:r>
        <w:rPr>
          <w:rFonts w:hint="eastAsia"/>
          <w:color w:val="auto"/>
          <w:highlight w:val="none"/>
        </w:rPr>
        <w:t>供应商须限期整改并承担返工、复检费用；</w:t>
      </w:r>
    </w:p>
    <w:p w14:paraId="3B011478">
      <w:pPr>
        <w:pStyle w:val="5"/>
        <w:numPr>
          <w:ilvl w:val="0"/>
          <w:numId w:val="5"/>
        </w:numPr>
        <w:spacing w:line="360" w:lineRule="auto"/>
        <w:ind w:firstLineChars="0"/>
      </w:pPr>
      <w:r>
        <w:rPr>
          <w:rFonts w:hint="eastAsia"/>
          <w:color w:val="auto"/>
          <w:highlight w:val="none"/>
        </w:rPr>
        <w:t>整改后仍不达标，采购方可拒收并追究违约责任。</w:t>
      </w:r>
      <w:bookmarkStart w:id="7" w:name="_GoBack"/>
      <w:bookmarkEnd w:id="7"/>
      <w:r>
        <w:rPr>
          <w:rFonts w:hint="eastAsia"/>
          <w:b/>
          <w:color w:val="auto"/>
          <w:sz w:val="24"/>
          <w:highlight w:val="none"/>
        </w:rPr>
        <w:t xml:space="preserve"> </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3669B1"/>
    <w:multiLevelType w:val="multilevel"/>
    <w:tmpl w:val="063669B1"/>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
    <w:nsid w:val="39F9376C"/>
    <w:multiLevelType w:val="multilevel"/>
    <w:tmpl w:val="39F9376C"/>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50CD0EBE"/>
    <w:multiLevelType w:val="multilevel"/>
    <w:tmpl w:val="50CD0EBE"/>
    <w:lvl w:ilvl="0" w:tentative="0">
      <w:start w:val="1"/>
      <w:numFmt w:val="decimal"/>
      <w:lvlText w:val="%1)"/>
      <w:lvlJc w:val="left"/>
      <w:pPr>
        <w:ind w:left="909" w:hanging="420"/>
      </w:pPr>
    </w:lvl>
    <w:lvl w:ilvl="1" w:tentative="0">
      <w:start w:val="1"/>
      <w:numFmt w:val="lowerLetter"/>
      <w:lvlText w:val="%2)"/>
      <w:lvlJc w:val="left"/>
      <w:pPr>
        <w:ind w:left="1329" w:hanging="420"/>
      </w:pPr>
    </w:lvl>
    <w:lvl w:ilvl="2" w:tentative="0">
      <w:start w:val="1"/>
      <w:numFmt w:val="lowerRoman"/>
      <w:lvlText w:val="%3."/>
      <w:lvlJc w:val="right"/>
      <w:pPr>
        <w:ind w:left="1749" w:hanging="420"/>
      </w:pPr>
    </w:lvl>
    <w:lvl w:ilvl="3" w:tentative="0">
      <w:start w:val="1"/>
      <w:numFmt w:val="decimal"/>
      <w:lvlText w:val="%4."/>
      <w:lvlJc w:val="left"/>
      <w:pPr>
        <w:ind w:left="2169" w:hanging="420"/>
      </w:pPr>
    </w:lvl>
    <w:lvl w:ilvl="4" w:tentative="0">
      <w:start w:val="1"/>
      <w:numFmt w:val="lowerLetter"/>
      <w:lvlText w:val="%5)"/>
      <w:lvlJc w:val="left"/>
      <w:pPr>
        <w:ind w:left="2589" w:hanging="420"/>
      </w:pPr>
    </w:lvl>
    <w:lvl w:ilvl="5" w:tentative="0">
      <w:start w:val="1"/>
      <w:numFmt w:val="lowerRoman"/>
      <w:lvlText w:val="%6."/>
      <w:lvlJc w:val="right"/>
      <w:pPr>
        <w:ind w:left="3009" w:hanging="420"/>
      </w:pPr>
    </w:lvl>
    <w:lvl w:ilvl="6" w:tentative="0">
      <w:start w:val="1"/>
      <w:numFmt w:val="decimal"/>
      <w:lvlText w:val="%7."/>
      <w:lvlJc w:val="left"/>
      <w:pPr>
        <w:ind w:left="3429" w:hanging="420"/>
      </w:pPr>
    </w:lvl>
    <w:lvl w:ilvl="7" w:tentative="0">
      <w:start w:val="1"/>
      <w:numFmt w:val="lowerLetter"/>
      <w:lvlText w:val="%8)"/>
      <w:lvlJc w:val="left"/>
      <w:pPr>
        <w:ind w:left="3849" w:hanging="420"/>
      </w:pPr>
    </w:lvl>
    <w:lvl w:ilvl="8" w:tentative="0">
      <w:start w:val="1"/>
      <w:numFmt w:val="lowerRoman"/>
      <w:lvlText w:val="%9."/>
      <w:lvlJc w:val="right"/>
      <w:pPr>
        <w:ind w:left="4269" w:hanging="420"/>
      </w:pPr>
    </w:lvl>
  </w:abstractNum>
  <w:abstractNum w:abstractNumId="3">
    <w:nsid w:val="53CA2D5F"/>
    <w:multiLevelType w:val="multilevel"/>
    <w:tmpl w:val="53CA2D5F"/>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6E4113D8"/>
    <w:multiLevelType w:val="multilevel"/>
    <w:tmpl w:val="6E4113D8"/>
    <w:lvl w:ilvl="0" w:tentative="0">
      <w:start w:val="2"/>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6A759C"/>
    <w:rsid w:val="096A7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2026-04-29T04:24:00Z</dcterms:created>
  <dc:creator>宋方方</dc:creator>
  <cp:lastModifiedBy>宋方方</cp:lastModifiedBy>
  <dcterms:modified xsi:type="dcterms:W3CDTF">2026-04-29T04:24:33Z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907D3C257EB34ECCAB2CED5299720B24_11</vt:lpwstr>
  </property>
  <property fmtid="{D5CDD505-2E9C-101B-9397-08002B2CF9AE}" pid="4" name="KSOTemplateDocerSaveRecord">
    <vt:lpwstr>eyJoZGlkIjoiY2ZjZDI4YmRkZDY3MGZmNjNjY2JiZTFlYmI4OWM0ZWEiLCJ1c2VySWQiOiIxNzYzODEyODI4In0=</vt:lpwstr>
  </property>
</Properties>
</file>