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C7CB8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</w:rPr>
      </w:pPr>
      <w:bookmarkStart w:id="0" w:name="_Toc466024555"/>
      <w:bookmarkStart w:id="1" w:name="_Toc445554746"/>
      <w:bookmarkStart w:id="2" w:name="_Toc65221553"/>
      <w:r>
        <w:rPr>
          <w:rFonts w:hint="eastAsia" w:ascii="宋体" w:hAnsi="宋体"/>
        </w:rPr>
        <w:t xml:space="preserve">  采购需求及技术规格要求</w:t>
      </w:r>
      <w:bookmarkEnd w:id="0"/>
      <w:bookmarkEnd w:id="1"/>
      <w:bookmarkEnd w:id="2"/>
    </w:p>
    <w:p w14:paraId="207652E1">
      <w:pPr>
        <w:adjustRightInd w:val="0"/>
        <w:snapToGrid w:val="0"/>
        <w:spacing w:before="156" w:beforeLines="50" w:line="360" w:lineRule="auto"/>
        <w:outlineLvl w:val="0"/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货物需求一览表</w:t>
      </w:r>
    </w:p>
    <w:tbl>
      <w:tblPr>
        <w:tblStyle w:val="5"/>
        <w:tblW w:w="7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378"/>
        <w:gridCol w:w="1239"/>
        <w:gridCol w:w="2013"/>
      </w:tblGrid>
      <w:tr w14:paraId="78A8A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7656556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378" w:type="dxa"/>
            <w:vAlign w:val="center"/>
          </w:tcPr>
          <w:p w14:paraId="6918590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货物名称</w:t>
            </w:r>
          </w:p>
        </w:tc>
        <w:tc>
          <w:tcPr>
            <w:tcW w:w="1239" w:type="dxa"/>
            <w:vAlign w:val="center"/>
          </w:tcPr>
          <w:p w14:paraId="661CCD0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2013" w:type="dxa"/>
            <w:vAlign w:val="center"/>
          </w:tcPr>
          <w:p w14:paraId="79F2F4D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交货期</w:t>
            </w:r>
          </w:p>
        </w:tc>
      </w:tr>
      <w:tr w14:paraId="4AD3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04" w:type="dxa"/>
            <w:vAlign w:val="center"/>
          </w:tcPr>
          <w:p w14:paraId="7865FEC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378" w:type="dxa"/>
            <w:vAlign w:val="center"/>
          </w:tcPr>
          <w:p w14:paraId="7BEB8CF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真空室</w:t>
            </w:r>
          </w:p>
        </w:tc>
        <w:tc>
          <w:tcPr>
            <w:tcW w:w="1239" w:type="dxa"/>
            <w:vAlign w:val="center"/>
          </w:tcPr>
          <w:p w14:paraId="168C42B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013" w:type="dxa"/>
            <w:vAlign w:val="center"/>
          </w:tcPr>
          <w:p w14:paraId="1DE73B1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合同签订后3个月</w:t>
            </w:r>
          </w:p>
        </w:tc>
      </w:tr>
      <w:tr w14:paraId="09CD5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04" w:type="dxa"/>
            <w:vAlign w:val="center"/>
          </w:tcPr>
          <w:p w14:paraId="3D03A86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378" w:type="dxa"/>
            <w:vAlign w:val="center"/>
          </w:tcPr>
          <w:p w14:paraId="50606A5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支架</w:t>
            </w:r>
          </w:p>
        </w:tc>
        <w:tc>
          <w:tcPr>
            <w:tcW w:w="1239" w:type="dxa"/>
            <w:vAlign w:val="center"/>
          </w:tcPr>
          <w:p w14:paraId="1DDD175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013" w:type="dxa"/>
            <w:vAlign w:val="center"/>
          </w:tcPr>
          <w:p w14:paraId="45D4A51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合同签订后3个月</w:t>
            </w:r>
          </w:p>
        </w:tc>
      </w:tr>
      <w:tr w14:paraId="5EB0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04" w:type="dxa"/>
            <w:vAlign w:val="center"/>
          </w:tcPr>
          <w:p w14:paraId="2562083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378" w:type="dxa"/>
            <w:vAlign w:val="center"/>
          </w:tcPr>
          <w:p w14:paraId="3CE134C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239" w:type="dxa"/>
            <w:vAlign w:val="center"/>
          </w:tcPr>
          <w:p w14:paraId="26B20B7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013" w:type="dxa"/>
            <w:vAlign w:val="center"/>
          </w:tcPr>
          <w:p w14:paraId="176D7F1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合同签订后3个月</w:t>
            </w:r>
          </w:p>
        </w:tc>
      </w:tr>
    </w:tbl>
    <w:p w14:paraId="2B5BC52B">
      <w:pPr>
        <w:adjustRightInd w:val="0"/>
        <w:snapToGrid w:val="0"/>
        <w:spacing w:line="480" w:lineRule="auto"/>
        <w:ind w:firstLine="210" w:firstLineChars="100"/>
        <w:rPr>
          <w:rFonts w:hint="eastAsia" w:ascii="宋体" w:hAnsi="宋体"/>
          <w:szCs w:val="21"/>
        </w:rPr>
      </w:pPr>
      <w:bookmarkStart w:id="3" w:name="_Toc30409514"/>
      <w:bookmarkStart w:id="4" w:name="_Toc532807472"/>
      <w:bookmarkStart w:id="5" w:name="_Toc12010815"/>
      <w:bookmarkStart w:id="6" w:name="_Toc509153917"/>
      <w:bookmarkStart w:id="7" w:name="_Toc12010788"/>
      <w:bookmarkStart w:id="8" w:name="_Toc257021215"/>
      <w:r>
        <w:rPr>
          <w:rFonts w:hint="eastAsia" w:ascii="宋体" w:hAnsi="宋体"/>
          <w:szCs w:val="21"/>
        </w:rPr>
        <w:t>招标方只提供技术方案和技术要求及关键尺寸，具体设计及图纸由投标方完成。</w:t>
      </w:r>
    </w:p>
    <w:p w14:paraId="7AA7BDF6">
      <w:pPr>
        <w:adjustRightInd w:val="0"/>
        <w:snapToGrid w:val="0"/>
        <w:spacing w:before="156" w:beforeLines="50" w:line="360" w:lineRule="auto"/>
        <w:outlineLvl w:val="0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工程技术要求</w:t>
      </w:r>
      <w:bookmarkEnd w:id="3"/>
      <w:bookmarkEnd w:id="4"/>
      <w:bookmarkEnd w:id="5"/>
      <w:bookmarkEnd w:id="6"/>
      <w:bookmarkEnd w:id="7"/>
      <w:bookmarkEnd w:id="8"/>
    </w:p>
    <w:p w14:paraId="102F812E">
      <w:pPr>
        <w:adjustRightInd w:val="0"/>
        <w:snapToGrid w:val="0"/>
        <w:spacing w:before="156" w:beforeLines="50" w:line="360" w:lineRule="auto"/>
        <w:outlineLvl w:val="1"/>
        <w:rPr>
          <w:b/>
          <w:sz w:val="24"/>
        </w:rPr>
      </w:pPr>
      <w:r>
        <w:rPr>
          <w:b/>
          <w:sz w:val="24"/>
        </w:rPr>
        <w:t>2.</w:t>
      </w:r>
      <w:r>
        <w:rPr>
          <w:rFonts w:hint="eastAsia"/>
          <w:b/>
          <w:sz w:val="24"/>
        </w:rPr>
        <w:t>1、</w:t>
      </w:r>
      <w:r>
        <w:rPr>
          <w:b/>
          <w:sz w:val="24"/>
        </w:rPr>
        <w:t>设备的主要用途及功能</w:t>
      </w:r>
      <w:bookmarkStart w:id="11" w:name="_GoBack"/>
      <w:bookmarkEnd w:id="11"/>
    </w:p>
    <w:p w14:paraId="097B6A1A">
      <w:pPr>
        <w:numPr>
          <w:ilvl w:val="0"/>
          <w:numId w:val="1"/>
        </w:numPr>
        <w:adjustRightInd w:val="0"/>
        <w:snapToGrid w:val="0"/>
        <w:spacing w:before="156" w:beforeLines="50"/>
        <w:ind w:left="862" w:hanging="442"/>
        <w:rPr>
          <w:bCs/>
          <w:szCs w:val="21"/>
          <w:lang w:val="zh-CN"/>
        </w:rPr>
      </w:pPr>
      <w:r>
        <w:rPr>
          <w:rFonts w:hint="eastAsia"/>
          <w:bCs/>
          <w:szCs w:val="21"/>
          <w:lang w:val="zh-CN"/>
        </w:rPr>
        <w:t>为内部设备提供高真空环境。</w:t>
      </w:r>
    </w:p>
    <w:p w14:paraId="5EA2173F">
      <w:pPr>
        <w:numPr>
          <w:ilvl w:val="0"/>
          <w:numId w:val="1"/>
        </w:numPr>
        <w:adjustRightInd w:val="0"/>
        <w:snapToGrid w:val="0"/>
        <w:spacing w:before="156" w:beforeLines="50"/>
        <w:ind w:left="862" w:hanging="442"/>
        <w:rPr>
          <w:bCs/>
          <w:szCs w:val="21"/>
          <w:lang w:val="zh-CN"/>
        </w:rPr>
      </w:pPr>
      <w:r>
        <w:rPr>
          <w:rFonts w:hint="eastAsia"/>
          <w:bCs/>
          <w:szCs w:val="21"/>
          <w:lang w:val="zh-CN"/>
        </w:rPr>
        <w:t>在超压情况下提供一个约束屏障，保证真空室的完整性。</w:t>
      </w:r>
    </w:p>
    <w:p w14:paraId="6795A787">
      <w:pPr>
        <w:numPr>
          <w:ilvl w:val="0"/>
          <w:numId w:val="1"/>
        </w:numPr>
        <w:adjustRightInd w:val="0"/>
        <w:snapToGrid w:val="0"/>
        <w:spacing w:before="156" w:beforeLines="50"/>
        <w:ind w:left="862" w:hanging="442"/>
        <w:rPr>
          <w:bCs/>
          <w:szCs w:val="21"/>
          <w:lang w:val="zh-CN"/>
        </w:rPr>
      </w:pPr>
      <w:r>
        <w:rPr>
          <w:bCs/>
          <w:szCs w:val="21"/>
          <w:lang w:val="zh-CN"/>
        </w:rPr>
        <w:t>为内部部件</w:t>
      </w:r>
      <w:r>
        <w:rPr>
          <w:rFonts w:hint="eastAsia"/>
          <w:bCs/>
          <w:szCs w:val="21"/>
          <w:lang w:val="zh-CN"/>
        </w:rPr>
        <w:t>及其它系统</w:t>
      </w:r>
      <w:r>
        <w:rPr>
          <w:bCs/>
          <w:szCs w:val="21"/>
          <w:lang w:val="zh-CN"/>
        </w:rPr>
        <w:t>提供接口和支撑。</w:t>
      </w:r>
    </w:p>
    <w:p w14:paraId="3B04FBF0">
      <w:pPr>
        <w:numPr>
          <w:ilvl w:val="0"/>
          <w:numId w:val="1"/>
        </w:numPr>
        <w:adjustRightInd w:val="0"/>
        <w:snapToGrid w:val="0"/>
        <w:spacing w:before="156" w:beforeLines="50"/>
        <w:ind w:left="862" w:hanging="442"/>
        <w:rPr>
          <w:bCs/>
          <w:szCs w:val="21"/>
          <w:lang w:val="zh-CN"/>
        </w:rPr>
      </w:pPr>
      <w:r>
        <w:rPr>
          <w:rFonts w:hint="eastAsia"/>
          <w:bCs/>
          <w:szCs w:val="21"/>
          <w:lang w:val="zh-CN"/>
        </w:rPr>
        <w:t>各个支架及导轨对部件及真空室支撑并移动。</w:t>
      </w:r>
    </w:p>
    <w:p w14:paraId="6B11051E">
      <w:pPr>
        <w:adjustRightInd w:val="0"/>
        <w:snapToGrid w:val="0"/>
        <w:spacing w:before="156" w:beforeLines="50" w:line="360" w:lineRule="auto"/>
        <w:outlineLvl w:val="1"/>
        <w:rPr>
          <w:b/>
          <w:sz w:val="24"/>
        </w:rPr>
      </w:pPr>
      <w:r>
        <w:rPr>
          <w:b/>
          <w:sz w:val="24"/>
        </w:rPr>
        <w:t>2.</w:t>
      </w:r>
      <w:r>
        <w:rPr>
          <w:rFonts w:hint="eastAsia"/>
          <w:b/>
          <w:sz w:val="24"/>
        </w:rPr>
        <w:t>2、</w:t>
      </w:r>
      <w:r>
        <w:rPr>
          <w:b/>
          <w:sz w:val="24"/>
        </w:rPr>
        <w:t xml:space="preserve"> 技术性能指标要求</w:t>
      </w:r>
    </w:p>
    <w:p w14:paraId="06FE40D2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szCs w:val="21"/>
        </w:rPr>
      </w:pPr>
      <w:bookmarkStart w:id="9" w:name="_Hlk218429895"/>
      <w:r>
        <w:rPr>
          <w:szCs w:val="21"/>
        </w:rPr>
        <w:t>为了满足真空系统的功能要求，拟定的真空室主要性能参数和设计指标如</w:t>
      </w:r>
      <w:r>
        <w:rPr>
          <w:rFonts w:hint="eastAsia"/>
          <w:szCs w:val="21"/>
        </w:rPr>
        <w:t>下表</w:t>
      </w:r>
      <w:r>
        <w:rPr>
          <w:szCs w:val="21"/>
        </w:rPr>
        <w:t>所示。</w:t>
      </w:r>
    </w:p>
    <w:p w14:paraId="63097880">
      <w:pPr>
        <w:autoSpaceDE w:val="0"/>
        <w:autoSpaceDN w:val="0"/>
        <w:adjustRightInd w:val="0"/>
        <w:spacing w:line="360" w:lineRule="auto"/>
        <w:ind w:firstLine="422" w:firstLineChars="200"/>
        <w:jc w:val="center"/>
        <w:rPr>
          <w:b/>
          <w:szCs w:val="21"/>
        </w:rPr>
      </w:pPr>
      <w:r>
        <w:rPr>
          <w:rFonts w:hint="eastAsia"/>
          <w:b/>
          <w:szCs w:val="21"/>
        </w:rPr>
        <w:t>表 2-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真空室主要性能参数和设计指标</w:t>
      </w:r>
    </w:p>
    <w:tbl>
      <w:tblPr>
        <w:tblStyle w:val="5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3018"/>
        <w:gridCol w:w="3078"/>
      </w:tblGrid>
      <w:tr w14:paraId="7D9F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4" w:type="dxa"/>
          </w:tcPr>
          <w:p w14:paraId="7D60B9E3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bookmarkStart w:id="10" w:name="_Hlk219361778"/>
            <w:r>
              <w:rPr>
                <w:rFonts w:hint="eastAsia"/>
                <w:bCs/>
                <w:kern w:val="0"/>
                <w:szCs w:val="28"/>
              </w:rPr>
              <w:t>序号</w:t>
            </w:r>
          </w:p>
        </w:tc>
        <w:tc>
          <w:tcPr>
            <w:tcW w:w="1559" w:type="dxa"/>
          </w:tcPr>
          <w:p w14:paraId="02C82F2E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参数名称</w:t>
            </w:r>
          </w:p>
        </w:tc>
        <w:tc>
          <w:tcPr>
            <w:tcW w:w="3018" w:type="dxa"/>
          </w:tcPr>
          <w:p w14:paraId="54C6B8F9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参数值</w:t>
            </w:r>
          </w:p>
        </w:tc>
        <w:tc>
          <w:tcPr>
            <w:tcW w:w="3078" w:type="dxa"/>
          </w:tcPr>
          <w:p w14:paraId="66B30A50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备注</w:t>
            </w:r>
          </w:p>
        </w:tc>
      </w:tr>
      <w:tr w14:paraId="1C89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6EA83124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1</w:t>
            </w:r>
          </w:p>
        </w:tc>
        <w:tc>
          <w:tcPr>
            <w:tcW w:w="1559" w:type="dxa"/>
          </w:tcPr>
          <w:p w14:paraId="4572294A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单条焊缝漏率</w:t>
            </w:r>
          </w:p>
        </w:tc>
        <w:tc>
          <w:tcPr>
            <w:tcW w:w="3018" w:type="dxa"/>
          </w:tcPr>
          <w:p w14:paraId="47A6D56C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﹤1</w:t>
            </w:r>
            <w:r>
              <w:rPr>
                <w:bCs/>
                <w:kern w:val="0"/>
                <w:szCs w:val="28"/>
              </w:rPr>
              <w:t>.0</w:t>
            </w:r>
            <w:r>
              <w:rPr>
                <w:rFonts w:hint="eastAsia"/>
                <w:bCs/>
                <w:kern w:val="0"/>
                <w:szCs w:val="28"/>
              </w:rPr>
              <w:t>×</w:t>
            </w:r>
            <w:r>
              <w:rPr>
                <w:bCs/>
                <w:kern w:val="0"/>
                <w:szCs w:val="28"/>
              </w:rPr>
              <w:fldChar w:fldCharType="begin"/>
            </w:r>
            <w:r>
              <w:rPr>
                <w:bCs/>
                <w:kern w:val="0"/>
                <w:szCs w:val="28"/>
              </w:rPr>
              <w:instrText xml:space="preserve"> QUOTE </w:instrText>
            </w:r>
            <w:r>
              <w:rPr>
                <w:rFonts w:ascii="Cambria Math" w:hAnsi="Cambria Math"/>
                <w:kern w:val="0"/>
                <w:sz w:val="24"/>
                <w:szCs w:val="28"/>
              </w:rPr>
              <w:instrText xml:space="preserve">10-7</w:instrText>
            </w:r>
            <w:r>
              <w:rPr>
                <w:bCs/>
                <w:kern w:val="0"/>
                <w:szCs w:val="28"/>
              </w:rPr>
              <w:instrText xml:space="preserve"> </w:instrText>
            </w:r>
            <w:r>
              <w:rPr>
                <w:bCs/>
                <w:kern w:val="0"/>
                <w:szCs w:val="28"/>
              </w:rPr>
              <w:fldChar w:fldCharType="separate"/>
            </w:r>
            <w:r>
              <w:rPr>
                <w:bCs/>
                <w:kern w:val="0"/>
                <w:szCs w:val="28"/>
              </w:rPr>
              <w:t>10</w:t>
            </w:r>
            <w:r>
              <w:rPr>
                <w:rFonts w:hint="eastAsia"/>
                <w:bCs/>
                <w:kern w:val="0"/>
                <w:szCs w:val="28"/>
                <w:vertAlign w:val="superscript"/>
              </w:rPr>
              <w:t>-</w:t>
            </w:r>
            <w:r>
              <w:rPr>
                <w:bCs/>
                <w:kern w:val="0"/>
                <w:szCs w:val="28"/>
                <w:vertAlign w:val="superscript"/>
              </w:rPr>
              <w:t>10</w:t>
            </w:r>
            <w:r>
              <w:rPr>
                <w:bCs/>
                <w:kern w:val="0"/>
                <w:szCs w:val="28"/>
              </w:rPr>
              <w:fldChar w:fldCharType="end"/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Cs w:val="20"/>
              </w:rPr>
              <w:t>Pa·m</w:t>
            </w:r>
            <w:r>
              <w:rPr>
                <w:kern w:val="0"/>
                <w:szCs w:val="20"/>
                <w:vertAlign w:val="superscript"/>
              </w:rPr>
              <w:t>3</w:t>
            </w:r>
            <w:r>
              <w:rPr>
                <w:kern w:val="0"/>
                <w:szCs w:val="20"/>
              </w:rPr>
              <w:t>/s</w:t>
            </w:r>
          </w:p>
        </w:tc>
        <w:tc>
          <w:tcPr>
            <w:tcW w:w="3078" w:type="dxa"/>
          </w:tcPr>
          <w:p w14:paraId="66566C65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关泵检漏</w:t>
            </w:r>
          </w:p>
        </w:tc>
      </w:tr>
      <w:tr w14:paraId="07D5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59B1AF67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2</w:t>
            </w:r>
          </w:p>
        </w:tc>
        <w:tc>
          <w:tcPr>
            <w:tcW w:w="1559" w:type="dxa"/>
          </w:tcPr>
          <w:p w14:paraId="10A2DC43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检漏极限真空</w:t>
            </w:r>
          </w:p>
        </w:tc>
        <w:tc>
          <w:tcPr>
            <w:tcW w:w="3018" w:type="dxa"/>
          </w:tcPr>
          <w:p w14:paraId="52E8A1A6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优于5</w:t>
            </w:r>
            <w:r>
              <w:rPr>
                <w:bCs/>
                <w:kern w:val="0"/>
                <w:szCs w:val="28"/>
              </w:rPr>
              <w:t>.0</w:t>
            </w:r>
            <w:r>
              <w:rPr>
                <w:rFonts w:hint="eastAsia"/>
                <w:bCs/>
                <w:kern w:val="0"/>
                <w:szCs w:val="28"/>
              </w:rPr>
              <w:t>×</w:t>
            </w:r>
            <w:r>
              <w:rPr>
                <w:bCs/>
                <w:kern w:val="0"/>
                <w:szCs w:val="28"/>
              </w:rPr>
              <w:fldChar w:fldCharType="begin"/>
            </w:r>
            <w:r>
              <w:rPr>
                <w:bCs/>
                <w:kern w:val="0"/>
                <w:szCs w:val="28"/>
              </w:rPr>
              <w:instrText xml:space="preserve"> QUOTE </w:instrText>
            </w:r>
            <w:r>
              <w:rPr>
                <w:rFonts w:ascii="Cambria Math" w:hAnsi="Cambria Math"/>
                <w:kern w:val="0"/>
                <w:sz w:val="24"/>
                <w:szCs w:val="28"/>
              </w:rPr>
              <w:instrText xml:space="preserve">10-5</w:instrText>
            </w:r>
            <w:r>
              <w:rPr>
                <w:bCs/>
                <w:kern w:val="0"/>
                <w:szCs w:val="28"/>
              </w:rPr>
              <w:instrText xml:space="preserve"> </w:instrText>
            </w:r>
            <w:r>
              <w:rPr>
                <w:bCs/>
                <w:kern w:val="0"/>
                <w:szCs w:val="28"/>
              </w:rPr>
              <w:fldChar w:fldCharType="separate"/>
            </w:r>
            <w:r>
              <w:rPr>
                <w:bCs/>
                <w:kern w:val="0"/>
                <w:szCs w:val="28"/>
              </w:rPr>
              <w:fldChar w:fldCharType="begin"/>
            </w:r>
            <w:r>
              <w:rPr>
                <w:bCs/>
                <w:kern w:val="0"/>
                <w:szCs w:val="28"/>
              </w:rPr>
              <w:instrText xml:space="preserve"> QUOTE </w:instrText>
            </w:r>
            <w:r>
              <w:rPr>
                <w:rFonts w:ascii="Cambria Math" w:hAnsi="Cambria Math"/>
                <w:kern w:val="0"/>
                <w:sz w:val="24"/>
                <w:szCs w:val="28"/>
              </w:rPr>
              <w:instrText xml:space="preserve">10-7</w:instrText>
            </w:r>
            <w:r>
              <w:rPr>
                <w:bCs/>
                <w:kern w:val="0"/>
                <w:szCs w:val="28"/>
              </w:rPr>
              <w:instrText xml:space="preserve"> </w:instrText>
            </w:r>
            <w:r>
              <w:rPr>
                <w:bCs/>
                <w:kern w:val="0"/>
                <w:szCs w:val="28"/>
              </w:rPr>
              <w:fldChar w:fldCharType="separate"/>
            </w:r>
            <w:r>
              <w:rPr>
                <w:bCs/>
                <w:kern w:val="0"/>
                <w:szCs w:val="28"/>
              </w:rPr>
              <w:t>10</w:t>
            </w:r>
            <w:r>
              <w:rPr>
                <w:rFonts w:hint="eastAsia"/>
                <w:bCs/>
                <w:kern w:val="0"/>
                <w:szCs w:val="28"/>
                <w:vertAlign w:val="superscript"/>
              </w:rPr>
              <w:t>-</w:t>
            </w:r>
            <w:r>
              <w:rPr>
                <w:bCs/>
                <w:kern w:val="0"/>
                <w:szCs w:val="28"/>
                <w:vertAlign w:val="superscript"/>
              </w:rPr>
              <w:t>3</w:t>
            </w:r>
            <w:r>
              <w:rPr>
                <w:bCs/>
                <w:kern w:val="0"/>
                <w:szCs w:val="28"/>
              </w:rPr>
              <w:fldChar w:fldCharType="end"/>
            </w:r>
            <w:r>
              <w:rPr>
                <w:bCs/>
                <w:kern w:val="0"/>
                <w:szCs w:val="28"/>
              </w:rPr>
              <w:fldChar w:fldCharType="end"/>
            </w:r>
            <w:r>
              <w:rPr>
                <w:rFonts w:hint="eastAsia"/>
                <w:bCs/>
                <w:kern w:val="0"/>
                <w:szCs w:val="28"/>
              </w:rPr>
              <w:t>Pa</w:t>
            </w:r>
          </w:p>
        </w:tc>
        <w:tc>
          <w:tcPr>
            <w:tcW w:w="3078" w:type="dxa"/>
          </w:tcPr>
          <w:p w14:paraId="418E36B2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分子泵机组抽2</w:t>
            </w:r>
            <w:r>
              <w:rPr>
                <w:bCs/>
                <w:kern w:val="0"/>
                <w:szCs w:val="28"/>
              </w:rPr>
              <w:t>4</w:t>
            </w:r>
            <w:r>
              <w:rPr>
                <w:rFonts w:hint="eastAsia"/>
                <w:bCs/>
                <w:kern w:val="0"/>
                <w:szCs w:val="28"/>
              </w:rPr>
              <w:t>h</w:t>
            </w:r>
          </w:p>
        </w:tc>
      </w:tr>
      <w:tr w14:paraId="5F40F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1528AE95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bCs/>
                <w:kern w:val="0"/>
                <w:szCs w:val="28"/>
              </w:rPr>
              <w:t>3</w:t>
            </w:r>
          </w:p>
        </w:tc>
        <w:tc>
          <w:tcPr>
            <w:tcW w:w="1559" w:type="dxa"/>
          </w:tcPr>
          <w:p w14:paraId="54BE561B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总漏率</w:t>
            </w:r>
          </w:p>
        </w:tc>
        <w:tc>
          <w:tcPr>
            <w:tcW w:w="3018" w:type="dxa"/>
          </w:tcPr>
          <w:p w14:paraId="24FA2AB1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﹤1</w:t>
            </w:r>
            <w:r>
              <w:rPr>
                <w:bCs/>
                <w:kern w:val="0"/>
                <w:szCs w:val="28"/>
              </w:rPr>
              <w:t>.0</w:t>
            </w:r>
            <w:r>
              <w:rPr>
                <w:rFonts w:hint="eastAsia"/>
                <w:bCs/>
                <w:kern w:val="0"/>
                <w:szCs w:val="28"/>
              </w:rPr>
              <w:t>×</w:t>
            </w:r>
            <w:r>
              <w:rPr>
                <w:bCs/>
                <w:kern w:val="0"/>
                <w:szCs w:val="28"/>
              </w:rPr>
              <w:fldChar w:fldCharType="begin"/>
            </w:r>
            <w:r>
              <w:rPr>
                <w:bCs/>
                <w:kern w:val="0"/>
                <w:szCs w:val="28"/>
              </w:rPr>
              <w:instrText xml:space="preserve"> QUOTE </w:instrText>
            </w:r>
            <w:r>
              <w:rPr>
                <w:rFonts w:ascii="Cambria Math" w:hAnsi="Cambria Math"/>
                <w:kern w:val="0"/>
                <w:sz w:val="24"/>
                <w:szCs w:val="28"/>
              </w:rPr>
              <w:instrText xml:space="preserve">10-7</w:instrText>
            </w:r>
            <w:r>
              <w:rPr>
                <w:bCs/>
                <w:kern w:val="0"/>
                <w:szCs w:val="28"/>
              </w:rPr>
              <w:instrText xml:space="preserve"> </w:instrText>
            </w:r>
            <w:r>
              <w:rPr>
                <w:bCs/>
                <w:kern w:val="0"/>
                <w:szCs w:val="28"/>
              </w:rPr>
              <w:fldChar w:fldCharType="separate"/>
            </w:r>
            <w:r>
              <w:rPr>
                <w:bCs/>
                <w:kern w:val="0"/>
                <w:szCs w:val="28"/>
              </w:rPr>
              <w:t>10</w:t>
            </w:r>
            <w:r>
              <w:rPr>
                <w:rFonts w:hint="eastAsia"/>
                <w:bCs/>
                <w:kern w:val="0"/>
                <w:szCs w:val="28"/>
                <w:vertAlign w:val="superscript"/>
              </w:rPr>
              <w:t>-</w:t>
            </w:r>
            <w:r>
              <w:rPr>
                <w:bCs/>
                <w:kern w:val="0"/>
                <w:szCs w:val="28"/>
                <w:vertAlign w:val="superscript"/>
              </w:rPr>
              <w:t>9</w:t>
            </w:r>
            <w:r>
              <w:rPr>
                <w:bCs/>
                <w:kern w:val="0"/>
                <w:szCs w:val="28"/>
              </w:rPr>
              <w:fldChar w:fldCharType="end"/>
            </w:r>
            <w:r>
              <w:rPr>
                <w:kern w:val="0"/>
                <w:szCs w:val="20"/>
              </w:rPr>
              <w:t xml:space="preserve"> Pa·m</w:t>
            </w:r>
            <w:r>
              <w:rPr>
                <w:kern w:val="0"/>
                <w:szCs w:val="20"/>
                <w:vertAlign w:val="superscript"/>
              </w:rPr>
              <w:t>3</w:t>
            </w:r>
            <w:r>
              <w:rPr>
                <w:kern w:val="0"/>
                <w:szCs w:val="20"/>
              </w:rPr>
              <w:t>/s</w:t>
            </w:r>
          </w:p>
        </w:tc>
        <w:tc>
          <w:tcPr>
            <w:tcW w:w="3078" w:type="dxa"/>
          </w:tcPr>
          <w:p w14:paraId="2C449CD2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分子泵检漏，给出漏放率计算过程。</w:t>
            </w:r>
          </w:p>
        </w:tc>
      </w:tr>
      <w:tr w14:paraId="0C36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04" w:type="dxa"/>
            <w:vAlign w:val="center"/>
          </w:tcPr>
          <w:p w14:paraId="5AC110E7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bCs/>
                <w:kern w:val="0"/>
                <w:szCs w:val="28"/>
              </w:rPr>
              <w:t>4</w:t>
            </w:r>
          </w:p>
        </w:tc>
        <w:tc>
          <w:tcPr>
            <w:tcW w:w="1559" w:type="dxa"/>
          </w:tcPr>
          <w:p w14:paraId="3BB247E8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真空室内部净空间尺寸</w:t>
            </w:r>
          </w:p>
        </w:tc>
        <w:tc>
          <w:tcPr>
            <w:tcW w:w="3018" w:type="dxa"/>
          </w:tcPr>
          <w:p w14:paraId="417D6EE4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kern w:val="0"/>
                <w:szCs w:val="21"/>
              </w:rPr>
              <w:t>内半径</w:t>
            </w:r>
            <w:r>
              <w:rPr>
                <w:rFonts w:hint="eastAsia"/>
                <w:kern w:val="0"/>
                <w:szCs w:val="21"/>
              </w:rPr>
              <w:t>约</w:t>
            </w:r>
            <w:r>
              <w:rPr>
                <w:kern w:val="0"/>
                <w:szCs w:val="21"/>
              </w:rPr>
              <w:t>1128mm、</w:t>
            </w:r>
            <w:r>
              <w:rPr>
                <w:rFonts w:hint="eastAsia"/>
                <w:kern w:val="0"/>
                <w:szCs w:val="21"/>
              </w:rPr>
              <w:t>长约</w:t>
            </w:r>
            <w:r>
              <w:rPr>
                <w:kern w:val="0"/>
                <w:szCs w:val="21"/>
              </w:rPr>
              <w:t>3500mm、壁厚</w:t>
            </w:r>
            <w:r>
              <w:rPr>
                <w:rFonts w:hint="eastAsia"/>
                <w:kern w:val="0"/>
                <w:szCs w:val="21"/>
              </w:rPr>
              <w:t>约</w:t>
            </w:r>
            <w:r>
              <w:rPr>
                <w:kern w:val="0"/>
                <w:szCs w:val="21"/>
              </w:rPr>
              <w:t>15mm。两段腔体组装，单个部件重量不超过5吨。</w:t>
            </w:r>
            <w:r>
              <w:rPr>
                <w:bCs/>
                <w:kern w:val="0"/>
                <w:szCs w:val="28"/>
              </w:rPr>
              <w:t xml:space="preserve"> </w:t>
            </w:r>
          </w:p>
        </w:tc>
        <w:tc>
          <w:tcPr>
            <w:tcW w:w="3078" w:type="dxa"/>
          </w:tcPr>
          <w:p w14:paraId="0413F1FB">
            <w:pPr>
              <w:adjustRightInd w:val="0"/>
              <w:spacing w:line="360" w:lineRule="auto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尺寸为内部净空间尺寸，形状为</w:t>
            </w:r>
            <w:r>
              <w:rPr>
                <w:rFonts w:hint="eastAsia" w:ascii="宋体" w:hAnsi="宋体"/>
                <w:kern w:val="0"/>
                <w:szCs w:val="21"/>
              </w:rPr>
              <w:t>圆形</w:t>
            </w:r>
            <w:r>
              <w:rPr>
                <w:rFonts w:ascii="宋体" w:hAnsi="宋体"/>
                <w:kern w:val="0"/>
                <w:szCs w:val="21"/>
              </w:rPr>
              <w:t>截面的真空腔体</w:t>
            </w:r>
            <w:r>
              <w:rPr>
                <w:rFonts w:hint="eastAsia" w:ascii="宋体" w:hAnsi="宋体"/>
                <w:kern w:val="0"/>
                <w:szCs w:val="21"/>
              </w:rPr>
              <w:t>，具体尺寸需根据现有圆真空室确认</w:t>
            </w:r>
            <w:r>
              <w:rPr>
                <w:rFonts w:hint="eastAsia"/>
                <w:bCs/>
                <w:kern w:val="0"/>
                <w:szCs w:val="28"/>
              </w:rPr>
              <w:t>。</w:t>
            </w:r>
          </w:p>
        </w:tc>
      </w:tr>
      <w:tr w14:paraId="06E1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E41A0D2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bCs/>
                <w:kern w:val="0"/>
                <w:szCs w:val="28"/>
              </w:rPr>
              <w:t>5</w:t>
            </w:r>
          </w:p>
        </w:tc>
        <w:tc>
          <w:tcPr>
            <w:tcW w:w="1559" w:type="dxa"/>
          </w:tcPr>
          <w:p w14:paraId="26C3616C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整体尺寸误差</w:t>
            </w:r>
          </w:p>
        </w:tc>
        <w:tc>
          <w:tcPr>
            <w:tcW w:w="3018" w:type="dxa"/>
          </w:tcPr>
          <w:p w14:paraId="307D2A80">
            <w:pPr>
              <w:adjustRightInd w:val="0"/>
              <w:spacing w:line="360" w:lineRule="auto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外部</w:t>
            </w:r>
            <w:r>
              <w:rPr>
                <w:bCs/>
                <w:kern w:val="0"/>
                <w:szCs w:val="28"/>
              </w:rPr>
              <w:t>&lt;</w:t>
            </w:r>
            <w:r>
              <w:rPr>
                <w:rFonts w:hint="eastAsia"/>
                <w:bCs/>
                <w:kern w:val="0"/>
                <w:szCs w:val="28"/>
              </w:rPr>
              <w:t>10</w:t>
            </w:r>
            <w:r>
              <w:rPr>
                <w:bCs/>
                <w:kern w:val="0"/>
                <w:szCs w:val="28"/>
              </w:rPr>
              <w:t>mm</w:t>
            </w:r>
            <w:r>
              <w:rPr>
                <w:rFonts w:hint="eastAsia"/>
                <w:bCs/>
                <w:kern w:val="0"/>
                <w:szCs w:val="28"/>
              </w:rPr>
              <w:t>，内部小于</w:t>
            </w:r>
            <w:r>
              <w:rPr>
                <w:bCs/>
                <w:kern w:val="0"/>
                <w:szCs w:val="28"/>
              </w:rPr>
              <w:t>&lt;</w:t>
            </w:r>
            <w:r>
              <w:rPr>
                <w:rFonts w:hint="eastAsia"/>
                <w:bCs/>
                <w:kern w:val="0"/>
                <w:szCs w:val="28"/>
              </w:rPr>
              <w:t>5</w:t>
            </w:r>
            <w:r>
              <w:rPr>
                <w:bCs/>
                <w:kern w:val="0"/>
                <w:szCs w:val="28"/>
              </w:rPr>
              <w:t>mm</w:t>
            </w:r>
            <w:r>
              <w:rPr>
                <w:rFonts w:hint="eastAsia"/>
                <w:bCs/>
                <w:kern w:val="0"/>
                <w:szCs w:val="28"/>
              </w:rPr>
              <w:t>，密封法兰和设备安装底座加工尺寸误差小于+/</w:t>
            </w:r>
            <w:r>
              <w:rPr>
                <w:bCs/>
                <w:kern w:val="0"/>
                <w:szCs w:val="28"/>
              </w:rPr>
              <w:t>-0.5mm</w:t>
            </w:r>
            <w:r>
              <w:rPr>
                <w:rFonts w:hint="eastAsia"/>
                <w:bCs/>
                <w:kern w:val="0"/>
                <w:szCs w:val="28"/>
              </w:rPr>
              <w:t>，螺栓孔位置度误差小于+/</w:t>
            </w:r>
            <w:r>
              <w:rPr>
                <w:bCs/>
                <w:kern w:val="0"/>
                <w:szCs w:val="28"/>
              </w:rPr>
              <w:t>-1mm</w:t>
            </w:r>
            <w:r>
              <w:rPr>
                <w:rFonts w:hint="eastAsia"/>
                <w:bCs/>
                <w:kern w:val="0"/>
                <w:szCs w:val="28"/>
              </w:rPr>
              <w:t>，平面度和平行度误差小于</w:t>
            </w:r>
            <w:r>
              <w:rPr>
                <w:bCs/>
                <w:kern w:val="0"/>
                <w:szCs w:val="28"/>
              </w:rPr>
              <w:t>1mm</w:t>
            </w:r>
          </w:p>
        </w:tc>
        <w:tc>
          <w:tcPr>
            <w:tcW w:w="3078" w:type="dxa"/>
          </w:tcPr>
          <w:p w14:paraId="4CD4482A">
            <w:pPr>
              <w:adjustRightInd w:val="0"/>
              <w:ind w:firstLine="420" w:firstLineChars="200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未标注公差的尺寸需按照</w:t>
            </w:r>
            <w:r>
              <w:rPr>
                <w:bCs/>
                <w:kern w:val="0"/>
                <w:szCs w:val="28"/>
              </w:rPr>
              <w:t>GB/T1804</w:t>
            </w:r>
            <w:r>
              <w:rPr>
                <w:rFonts w:hint="eastAsia"/>
                <w:bCs/>
                <w:kern w:val="0"/>
                <w:szCs w:val="28"/>
              </w:rPr>
              <w:t>－</w:t>
            </w:r>
            <w:r>
              <w:rPr>
                <w:bCs/>
                <w:kern w:val="0"/>
                <w:szCs w:val="28"/>
              </w:rPr>
              <w:t>2000 《</w:t>
            </w:r>
            <w:r>
              <w:rPr>
                <w:rFonts w:hint="eastAsia"/>
                <w:bCs/>
                <w:kern w:val="0"/>
                <w:szCs w:val="28"/>
              </w:rPr>
              <w:t>未注公差的线性和角度尺寸公差》m等级。未注焊接公差参看I</w:t>
            </w:r>
            <w:r>
              <w:rPr>
                <w:bCs/>
                <w:kern w:val="0"/>
                <w:szCs w:val="28"/>
              </w:rPr>
              <w:t>SO13920-AF</w:t>
            </w:r>
          </w:p>
        </w:tc>
      </w:tr>
      <w:tr w14:paraId="2ACE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F54275B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bCs/>
                <w:kern w:val="0"/>
                <w:szCs w:val="28"/>
              </w:rPr>
              <w:t>6</w:t>
            </w:r>
          </w:p>
        </w:tc>
        <w:tc>
          <w:tcPr>
            <w:tcW w:w="1559" w:type="dxa"/>
          </w:tcPr>
          <w:p w14:paraId="2A76916C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抽真空允许最大变形量</w:t>
            </w:r>
          </w:p>
        </w:tc>
        <w:tc>
          <w:tcPr>
            <w:tcW w:w="3018" w:type="dxa"/>
          </w:tcPr>
          <w:p w14:paraId="21B59B07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整体﹤5mm，密封面法兰所有尺寸变形小于+/</w:t>
            </w:r>
            <w:r>
              <w:rPr>
                <w:bCs/>
                <w:kern w:val="0"/>
                <w:szCs w:val="28"/>
              </w:rPr>
              <w:t>-1.5mm</w:t>
            </w:r>
          </w:p>
        </w:tc>
        <w:tc>
          <w:tcPr>
            <w:tcW w:w="3078" w:type="dxa"/>
          </w:tcPr>
          <w:p w14:paraId="4F091743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1"/>
              </w:rPr>
              <w:t>因变形造成螺栓卡死现象为不合格</w:t>
            </w:r>
          </w:p>
        </w:tc>
      </w:tr>
      <w:tr w14:paraId="6C70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 w14:paraId="440488C6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bCs/>
                <w:kern w:val="0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14:paraId="7CFFE500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真空室材料</w:t>
            </w:r>
          </w:p>
        </w:tc>
        <w:tc>
          <w:tcPr>
            <w:tcW w:w="3018" w:type="dxa"/>
            <w:vAlign w:val="center"/>
          </w:tcPr>
          <w:p w14:paraId="00011F60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kern w:val="0"/>
                <w:szCs w:val="21"/>
                <w:lang w:val="zh-CN"/>
              </w:rPr>
              <w:t>材料为304</w:t>
            </w:r>
          </w:p>
        </w:tc>
        <w:tc>
          <w:tcPr>
            <w:tcW w:w="3078" w:type="dxa"/>
            <w:vAlign w:val="center"/>
          </w:tcPr>
          <w:p w14:paraId="461D486B">
            <w:pPr>
              <w:adjustRightInd w:val="0"/>
              <w:spacing w:line="360" w:lineRule="auto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采用大型优质钢材厂家，推荐厂家：太钢、宝钢、酒钢，须提供材质证明和厂家信息</w:t>
            </w:r>
          </w:p>
        </w:tc>
      </w:tr>
      <w:tr w14:paraId="22F5E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4" w:type="dxa"/>
            <w:vAlign w:val="center"/>
          </w:tcPr>
          <w:p w14:paraId="1FD3B91D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bCs/>
                <w:kern w:val="0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14:paraId="1871449C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导轨和支撑滑轮组</w:t>
            </w:r>
          </w:p>
        </w:tc>
        <w:tc>
          <w:tcPr>
            <w:tcW w:w="3018" w:type="dxa"/>
            <w:vAlign w:val="center"/>
          </w:tcPr>
          <w:p w14:paraId="4C61DB8E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 w:ascii="宋体" w:hAnsi="宋体"/>
                <w:kern w:val="0"/>
                <w:lang w:val="zh-CN"/>
              </w:rPr>
              <w:t>厂家自行选型，须提供详细选型方案</w:t>
            </w:r>
          </w:p>
        </w:tc>
        <w:tc>
          <w:tcPr>
            <w:tcW w:w="3078" w:type="dxa"/>
            <w:vAlign w:val="center"/>
          </w:tcPr>
          <w:p w14:paraId="6130A9FB">
            <w:pPr>
              <w:adjustRightInd w:val="0"/>
              <w:spacing w:line="360" w:lineRule="auto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导轨长4.2米左右，具体长度需根据现场需求确定，承重安全系数为1</w:t>
            </w:r>
            <w:r>
              <w:rPr>
                <w:bCs/>
                <w:kern w:val="0"/>
                <w:szCs w:val="28"/>
              </w:rPr>
              <w:t>.5</w:t>
            </w:r>
            <w:r>
              <w:rPr>
                <w:rFonts w:hint="eastAsia"/>
                <w:bCs/>
                <w:kern w:val="0"/>
                <w:szCs w:val="28"/>
              </w:rPr>
              <w:t>倍。</w:t>
            </w:r>
          </w:p>
        </w:tc>
      </w:tr>
      <w:tr w14:paraId="64954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04" w:type="dxa"/>
            <w:vAlign w:val="center"/>
          </w:tcPr>
          <w:p w14:paraId="4DFAF8DC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9</w:t>
            </w:r>
          </w:p>
        </w:tc>
        <w:tc>
          <w:tcPr>
            <w:tcW w:w="1559" w:type="dxa"/>
          </w:tcPr>
          <w:p w14:paraId="3029E44B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内壁粗糙度</w:t>
            </w:r>
          </w:p>
        </w:tc>
        <w:tc>
          <w:tcPr>
            <w:tcW w:w="3018" w:type="dxa"/>
          </w:tcPr>
          <w:p w14:paraId="5227D8F4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  <w:lang w:val="zh-CN" w:eastAsia="zh-CN"/>
              </w:rPr>
            </w:pPr>
            <w:r>
              <w:rPr>
                <w:rFonts w:hint="eastAsia"/>
                <w:bCs/>
                <w:kern w:val="0"/>
                <w:szCs w:val="28"/>
              </w:rPr>
              <w:t>真空室内壁镜面抛光</w:t>
            </w:r>
          </w:p>
        </w:tc>
        <w:tc>
          <w:tcPr>
            <w:tcW w:w="3078" w:type="dxa"/>
          </w:tcPr>
          <w:p w14:paraId="5DBADBF6">
            <w:pPr>
              <w:adjustRightInd w:val="0"/>
              <w:spacing w:line="360" w:lineRule="auto"/>
              <w:ind w:firstLine="420" w:firstLineChars="200"/>
              <w:textAlignment w:val="baseline"/>
              <w:rPr>
                <w:bCs/>
                <w:kern w:val="0"/>
                <w:szCs w:val="28"/>
              </w:rPr>
            </w:pPr>
          </w:p>
        </w:tc>
      </w:tr>
      <w:tr w14:paraId="04F0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04" w:type="dxa"/>
            <w:vAlign w:val="center"/>
          </w:tcPr>
          <w:p w14:paraId="4D9C31F6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1</w:t>
            </w:r>
            <w:r>
              <w:rPr>
                <w:bCs/>
                <w:kern w:val="0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7C357E5C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支撑基座</w:t>
            </w:r>
          </w:p>
        </w:tc>
        <w:tc>
          <w:tcPr>
            <w:tcW w:w="3018" w:type="dxa"/>
            <w:vAlign w:val="center"/>
          </w:tcPr>
          <w:p w14:paraId="2B3D8104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  <w:lang w:val="zh-CN"/>
              </w:rPr>
            </w:pPr>
            <w:r>
              <w:rPr>
                <w:rFonts w:hint="eastAsia"/>
                <w:bCs/>
                <w:kern w:val="0"/>
                <w:szCs w:val="28"/>
                <w:lang w:val="zh-CN"/>
              </w:rPr>
              <w:t>4.2米长左右（需满足新增段移动），高度与现有支撑底座保持一致，材料为3</w:t>
            </w:r>
            <w:r>
              <w:rPr>
                <w:bCs/>
                <w:kern w:val="0"/>
                <w:szCs w:val="28"/>
                <w:lang w:val="zh-CN"/>
              </w:rPr>
              <w:t>04</w:t>
            </w:r>
            <w:r>
              <w:rPr>
                <w:rFonts w:hint="eastAsia"/>
                <w:bCs/>
                <w:kern w:val="0"/>
                <w:szCs w:val="28"/>
                <w:lang w:val="zh-CN"/>
              </w:rPr>
              <w:t>不锈钢</w:t>
            </w:r>
          </w:p>
        </w:tc>
        <w:tc>
          <w:tcPr>
            <w:tcW w:w="3078" w:type="dxa"/>
            <w:vAlign w:val="center"/>
          </w:tcPr>
          <w:p w14:paraId="718B3803">
            <w:pPr>
              <w:adjustRightInd w:val="0"/>
              <w:spacing w:line="360" w:lineRule="auto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高度便于人员安装螺栓即可，承重安全系数为1</w:t>
            </w:r>
            <w:r>
              <w:rPr>
                <w:bCs/>
                <w:kern w:val="0"/>
                <w:szCs w:val="28"/>
              </w:rPr>
              <w:t>.5</w:t>
            </w:r>
            <w:r>
              <w:rPr>
                <w:rFonts w:hint="eastAsia"/>
                <w:bCs/>
                <w:kern w:val="0"/>
                <w:szCs w:val="28"/>
              </w:rPr>
              <w:t>倍</w:t>
            </w:r>
          </w:p>
        </w:tc>
      </w:tr>
      <w:tr w14:paraId="35A0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04" w:type="dxa"/>
            <w:vAlign w:val="center"/>
          </w:tcPr>
          <w:p w14:paraId="2454F256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1</w:t>
            </w:r>
            <w:r>
              <w:rPr>
                <w:bCs/>
                <w:kern w:val="0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69E1A31C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 xml:space="preserve">中心化器及离子源支撑 </w:t>
            </w:r>
          </w:p>
        </w:tc>
        <w:tc>
          <w:tcPr>
            <w:tcW w:w="3018" w:type="dxa"/>
            <w:vAlign w:val="center"/>
          </w:tcPr>
          <w:p w14:paraId="103B4929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/>
                <w:kern w:val="0"/>
                <w:lang w:val="zh-CN"/>
              </w:rPr>
            </w:pPr>
            <w:r>
              <w:rPr>
                <w:rFonts w:hint="eastAsia"/>
                <w:bCs/>
                <w:kern w:val="0"/>
                <w:szCs w:val="28"/>
                <w:lang w:val="zh-CN"/>
              </w:rPr>
              <w:t>2.7米高左右，具体高度需根据现场确定，材料为3</w:t>
            </w:r>
            <w:r>
              <w:rPr>
                <w:bCs/>
                <w:kern w:val="0"/>
                <w:szCs w:val="28"/>
                <w:lang w:val="zh-CN"/>
              </w:rPr>
              <w:t>04</w:t>
            </w:r>
            <w:r>
              <w:rPr>
                <w:rFonts w:hint="eastAsia"/>
                <w:bCs/>
                <w:kern w:val="0"/>
                <w:szCs w:val="28"/>
                <w:lang w:val="zh-CN"/>
              </w:rPr>
              <w:t>不锈钢</w:t>
            </w:r>
          </w:p>
        </w:tc>
        <w:tc>
          <w:tcPr>
            <w:tcW w:w="3078" w:type="dxa"/>
            <w:vAlign w:val="center"/>
          </w:tcPr>
          <w:p w14:paraId="4D725128">
            <w:pPr>
              <w:adjustRightInd w:val="0"/>
              <w:spacing w:line="360" w:lineRule="auto"/>
              <w:textAlignment w:val="baseline"/>
              <w:rPr>
                <w:bCs/>
                <w:kern w:val="0"/>
                <w:szCs w:val="28"/>
                <w:lang w:val="zh-CN" w:eastAsia="zh-CN"/>
              </w:rPr>
            </w:pPr>
            <w:r>
              <w:rPr>
                <w:rFonts w:hint="eastAsia"/>
                <w:bCs/>
                <w:kern w:val="0"/>
                <w:szCs w:val="28"/>
              </w:rPr>
              <w:t>高度便于人员安装螺栓即可，承重安全系数为1</w:t>
            </w:r>
            <w:r>
              <w:rPr>
                <w:bCs/>
                <w:kern w:val="0"/>
                <w:szCs w:val="28"/>
              </w:rPr>
              <w:t>.5</w:t>
            </w:r>
            <w:r>
              <w:rPr>
                <w:rFonts w:hint="eastAsia"/>
                <w:bCs/>
                <w:kern w:val="0"/>
                <w:szCs w:val="28"/>
              </w:rPr>
              <w:t>倍</w:t>
            </w:r>
          </w:p>
        </w:tc>
      </w:tr>
      <w:tr w14:paraId="0000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04" w:type="dxa"/>
            <w:vAlign w:val="center"/>
          </w:tcPr>
          <w:p w14:paraId="619A9349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02113569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</w:rPr>
              <w:t>CFC靶移动支撑</w:t>
            </w:r>
          </w:p>
        </w:tc>
        <w:tc>
          <w:tcPr>
            <w:tcW w:w="3018" w:type="dxa"/>
            <w:vAlign w:val="center"/>
          </w:tcPr>
          <w:p w14:paraId="693AA11C">
            <w:pPr>
              <w:adjustRightInd w:val="0"/>
              <w:spacing w:line="360" w:lineRule="auto"/>
              <w:jc w:val="center"/>
              <w:textAlignment w:val="baseline"/>
              <w:rPr>
                <w:bCs/>
                <w:kern w:val="0"/>
                <w:szCs w:val="28"/>
                <w:lang w:val="zh-CN"/>
              </w:rPr>
            </w:pPr>
            <w:r>
              <w:rPr>
                <w:rFonts w:hint="eastAsia"/>
                <w:bCs/>
                <w:kern w:val="0"/>
                <w:szCs w:val="28"/>
                <w:lang w:val="zh-CN"/>
              </w:rPr>
              <w:t>高度0.65米左右，具体高度需根据现场确定，保证CFC靶中心在束中心，材料为3</w:t>
            </w:r>
            <w:r>
              <w:rPr>
                <w:bCs/>
                <w:kern w:val="0"/>
                <w:szCs w:val="28"/>
                <w:lang w:val="zh-CN"/>
              </w:rPr>
              <w:t>04</w:t>
            </w:r>
            <w:r>
              <w:rPr>
                <w:rFonts w:hint="eastAsia"/>
                <w:bCs/>
                <w:kern w:val="0"/>
                <w:szCs w:val="28"/>
                <w:lang w:val="zh-CN"/>
              </w:rPr>
              <w:t>不锈钢</w:t>
            </w:r>
          </w:p>
        </w:tc>
        <w:tc>
          <w:tcPr>
            <w:tcW w:w="3078" w:type="dxa"/>
            <w:vAlign w:val="center"/>
          </w:tcPr>
          <w:p w14:paraId="09439036">
            <w:pPr>
              <w:adjustRightInd w:val="0"/>
              <w:spacing w:line="360" w:lineRule="auto"/>
              <w:textAlignment w:val="baseline"/>
              <w:rPr>
                <w:bCs/>
                <w:kern w:val="0"/>
                <w:szCs w:val="28"/>
              </w:rPr>
            </w:pPr>
            <w:r>
              <w:rPr>
                <w:rFonts w:hint="eastAsia"/>
                <w:bCs/>
                <w:kern w:val="0"/>
                <w:szCs w:val="28"/>
                <w:lang w:val="zh-CN"/>
              </w:rPr>
              <w:t>CFC靶支撑具备沿着束传输方向移动1.9米左右，垂直束传输方向移动1.1米左右，靶背面不被遮挡，</w:t>
            </w:r>
            <w:r>
              <w:rPr>
                <w:rFonts w:hint="eastAsia"/>
                <w:bCs/>
                <w:kern w:val="0"/>
                <w:szCs w:val="28"/>
              </w:rPr>
              <w:t>承重安全系数为1</w:t>
            </w:r>
            <w:r>
              <w:rPr>
                <w:bCs/>
                <w:kern w:val="0"/>
                <w:szCs w:val="28"/>
              </w:rPr>
              <w:t>.5</w:t>
            </w:r>
            <w:r>
              <w:rPr>
                <w:rFonts w:hint="eastAsia"/>
                <w:bCs/>
                <w:kern w:val="0"/>
                <w:szCs w:val="28"/>
              </w:rPr>
              <w:t>倍</w:t>
            </w:r>
          </w:p>
        </w:tc>
      </w:tr>
      <w:bookmarkEnd w:id="10"/>
    </w:tbl>
    <w:p w14:paraId="5411508F">
      <w:pPr>
        <w:spacing w:line="360" w:lineRule="auto"/>
        <w:jc w:val="left"/>
        <w:rPr>
          <w:szCs w:val="21"/>
        </w:rPr>
      </w:pPr>
      <w:r>
        <w:rPr>
          <w:bCs/>
          <w:szCs w:val="21"/>
        </w:rPr>
        <w:t>注</w:t>
      </w:r>
      <w:r>
        <w:rPr>
          <w:rFonts w:hint="eastAsia"/>
          <w:bCs/>
          <w:szCs w:val="21"/>
        </w:rPr>
        <w:t>：</w:t>
      </w:r>
      <w:r>
        <w:rPr>
          <w:bCs/>
          <w:szCs w:val="21"/>
        </w:rPr>
        <w:t>极限真空：</w:t>
      </w:r>
      <w:r>
        <w:rPr>
          <w:rFonts w:hint="eastAsia"/>
          <w:szCs w:val="21"/>
        </w:rPr>
        <w:t>投标方提供合理的检漏方案供招标方选用，招标方同意后可按照投标方提供方案进行检漏验收。</w:t>
      </w:r>
      <w:bookmarkEnd w:id="9"/>
    </w:p>
    <w:p w14:paraId="327E60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942624"/>
    <w:multiLevelType w:val="multilevel"/>
    <w:tmpl w:val="2A942624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B3"/>
    <w:rsid w:val="00110778"/>
    <w:rsid w:val="00135900"/>
    <w:rsid w:val="003322A1"/>
    <w:rsid w:val="003E4EDA"/>
    <w:rsid w:val="00454EB3"/>
    <w:rsid w:val="0067072B"/>
    <w:rsid w:val="006F5723"/>
    <w:rsid w:val="00937F86"/>
    <w:rsid w:val="009F092A"/>
    <w:rsid w:val="00A153CD"/>
    <w:rsid w:val="00D40693"/>
    <w:rsid w:val="7988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975</Words>
  <Characters>1114</Characters>
  <Lines>76</Lines>
  <Paragraphs>91</Paragraphs>
  <TotalTime>7</TotalTime>
  <ScaleCrop>false</ScaleCrop>
  <LinksUpToDate>false</LinksUpToDate>
  <CharactersWithSpaces>1123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2026-01-15T02:28:00Z</dcterms:created>
  <dc:creator>DELL</dc:creator>
  <cp:lastModifiedBy>宋方方</cp:lastModifiedBy>
  <dcterms:modified xsi:type="dcterms:W3CDTF">2026-01-15T06:15:29Z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eyJoZGlkIjoiY2ZjZDI4YmRkZDY3MGZmNjNjY2JiZTFlYmI4OWM0ZWEiLCJ1c2VySWQiOiIxNzYzODEyODI4In0=</vt:lpwstr>
  </property>
  <property fmtid="{D5CDD505-2E9C-101B-9397-08002B2CF9AE}" pid="3" name="KSOProductBuildVer">
    <vt:lpwstr>2052-12.1.0.24034</vt:lpwstr>
  </property>
  <property fmtid="{D5CDD505-2E9C-101B-9397-08002B2CF9AE}" pid="4" name="ICV">
    <vt:lpwstr>0C4EBF3C3A3F45BCAB74AFE90700848C_12</vt:lpwstr>
  </property>
</Properties>
</file>