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0FBC" w14:textId="77777777" w:rsidR="00C62AD8" w:rsidRPr="00C62AD8" w:rsidRDefault="00C62AD8" w:rsidP="00C62AD8">
      <w:pPr>
        <w:pStyle w:val="1"/>
        <w:spacing w:before="0" w:after="0" w:line="360" w:lineRule="auto"/>
        <w:jc w:val="center"/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</w:pPr>
      <w:r w:rsidRPr="00C62AD8"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  <w:t>第七章 采购</w:t>
      </w:r>
      <w:r w:rsidRPr="00C62AD8">
        <w:rPr>
          <w:rFonts w:ascii="宋体" w:eastAsia="宋体" w:hAnsi="宋体"/>
          <w:b/>
          <w:bCs/>
          <w:color w:val="000000" w:themeColor="text1"/>
          <w:sz w:val="52"/>
          <w:szCs w:val="52"/>
        </w:rPr>
        <w:t>需求</w:t>
      </w:r>
    </w:p>
    <w:p w14:paraId="594D4330" w14:textId="77777777" w:rsidR="00C62AD8" w:rsidRPr="00C62AD8" w:rsidRDefault="00C62AD8" w:rsidP="00C62AD8">
      <w:pPr>
        <w:spacing w:line="360" w:lineRule="auto"/>
        <w:rPr>
          <w:rFonts w:ascii="宋体" w:hAnsi="宋体" w:hint="eastAsia"/>
          <w:b/>
          <w:color w:val="000000" w:themeColor="text1"/>
          <w:szCs w:val="21"/>
        </w:rPr>
      </w:pPr>
    </w:p>
    <w:p w14:paraId="04176282" w14:textId="77777777" w:rsidR="00C62AD8" w:rsidRPr="00C62AD8" w:rsidRDefault="00C62AD8" w:rsidP="00C62AD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/>
          <w:b/>
          <w:color w:val="000000" w:themeColor="text1"/>
          <w:szCs w:val="21"/>
        </w:rPr>
        <w:t>货物需求一览表</w:t>
      </w:r>
    </w:p>
    <w:p w14:paraId="102AC615" w14:textId="77777777" w:rsidR="00C62AD8" w:rsidRPr="00C62AD8" w:rsidRDefault="00C62AD8" w:rsidP="00C62AD8">
      <w:pPr>
        <w:adjustRightInd w:val="0"/>
        <w:snapToGrid w:val="0"/>
        <w:spacing w:line="360" w:lineRule="auto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 w:hint="eastAsia"/>
          <w:b/>
          <w:color w:val="000000" w:themeColor="text1"/>
          <w:szCs w:val="21"/>
        </w:rPr>
        <w:t xml:space="preserve">   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56"/>
        <w:gridCol w:w="4100"/>
        <w:gridCol w:w="850"/>
      </w:tblGrid>
      <w:tr w:rsidR="00C62AD8" w:rsidRPr="00C62AD8" w14:paraId="78B8CDEB" w14:textId="77777777" w:rsidTr="00C62AD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797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C07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004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/>
                <w:color w:val="000000" w:themeColor="text1"/>
                <w:szCs w:val="21"/>
              </w:rPr>
              <w:t>技术描述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3BC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/>
                <w:color w:val="000000" w:themeColor="text1"/>
                <w:szCs w:val="21"/>
              </w:rPr>
              <w:t>数量</w:t>
            </w:r>
          </w:p>
        </w:tc>
      </w:tr>
      <w:tr w:rsidR="00C62AD8" w:rsidRPr="00C62AD8" w14:paraId="1F7A7506" w14:textId="77777777" w:rsidTr="00C62AD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C7E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BCF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Cs/>
                <w:color w:val="000000" w:themeColor="text1"/>
                <w:szCs w:val="21"/>
              </w:rPr>
              <w:t>罗茨泵机组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C77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 w:hint="eastAsia"/>
                <w:bCs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Cs/>
                <w:color w:val="000000" w:themeColor="text1"/>
                <w:szCs w:val="21"/>
              </w:rPr>
              <w:t>前级泵为无油干泵，整体漏率小于1E-6mbar 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A05" w14:textId="77777777" w:rsidR="00C62AD8" w:rsidRPr="00C62AD8" w:rsidRDefault="00C62AD8" w:rsidP="00C62A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 w:themeColor="text1"/>
                <w:szCs w:val="21"/>
              </w:rPr>
            </w:pPr>
            <w:r w:rsidRPr="00C62AD8">
              <w:rPr>
                <w:rFonts w:ascii="宋体" w:hAnsi="宋体" w:cs="Arial" w:hint="eastAsia"/>
                <w:bCs/>
                <w:color w:val="000000" w:themeColor="text1"/>
                <w:szCs w:val="21"/>
              </w:rPr>
              <w:t>1套</w:t>
            </w:r>
          </w:p>
        </w:tc>
      </w:tr>
    </w:tbl>
    <w:p w14:paraId="37E82D8A" w14:textId="77777777" w:rsidR="00C62AD8" w:rsidRPr="00C62AD8" w:rsidRDefault="00C62AD8" w:rsidP="00C62AD8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 w:themeColor="text1"/>
          <w:szCs w:val="21"/>
        </w:rPr>
      </w:pPr>
    </w:p>
    <w:p w14:paraId="6127D01C" w14:textId="77777777" w:rsidR="00C62AD8" w:rsidRPr="00C62AD8" w:rsidRDefault="00C62AD8" w:rsidP="00C62AD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/>
          <w:b/>
          <w:color w:val="000000" w:themeColor="text1"/>
          <w:szCs w:val="21"/>
        </w:rPr>
        <w:t>设备的主要用途及功能</w:t>
      </w:r>
    </w:p>
    <w:p w14:paraId="4F67BF3A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用于“紧凑型聚变能实验装置(BEST)”项目中压氦气储罐氦气抽空以及平时系统抽空置换。</w:t>
      </w:r>
    </w:p>
    <w:p w14:paraId="5A1FF3FA" w14:textId="77777777" w:rsidR="00C62AD8" w:rsidRPr="00C62AD8" w:rsidRDefault="00C62AD8" w:rsidP="00C62AD8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 w:themeColor="text1"/>
          <w:szCs w:val="21"/>
        </w:rPr>
      </w:pPr>
    </w:p>
    <w:p w14:paraId="16DFAAD8" w14:textId="77777777" w:rsidR="00C62AD8" w:rsidRPr="00C62AD8" w:rsidRDefault="00C62AD8" w:rsidP="00C62AD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/>
          <w:b/>
          <w:color w:val="000000" w:themeColor="text1"/>
          <w:szCs w:val="21"/>
        </w:rPr>
        <w:t>工作条件</w:t>
      </w:r>
    </w:p>
    <w:p w14:paraId="1DA9DEF6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适于在气温为摄氏-20℃～＋50℃和相对湿度为90％的环境条件下运输和贮存。</w:t>
      </w:r>
    </w:p>
    <w:p w14:paraId="18DB4994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适于在电源</w:t>
      </w:r>
      <w:r w:rsidRPr="00C62AD8">
        <w:rPr>
          <w:rFonts w:ascii="宋体" w:hAnsi="宋体" w:cs="Arial"/>
          <w:bCs/>
          <w:color w:val="000000" w:themeColor="text1"/>
          <w:szCs w:val="21"/>
        </w:rPr>
        <w:t>220V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（</w:t>
      </w:r>
      <w:r w:rsidRPr="00C62AD8">
        <w:rPr>
          <w:rFonts w:ascii="宋体" w:hAnsi="宋体" w:cs="Arial"/>
          <w:bCs/>
          <w:color w:val="000000" w:themeColor="text1"/>
          <w:szCs w:val="21"/>
        </w:rPr>
        <w:t>10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％）</w:t>
      </w:r>
      <w:r w:rsidRPr="00C62AD8">
        <w:rPr>
          <w:rFonts w:ascii="宋体" w:hAnsi="宋体" w:cs="Arial"/>
          <w:bCs/>
          <w:color w:val="000000" w:themeColor="text1"/>
          <w:szCs w:val="21"/>
        </w:rPr>
        <w:t>/50Hz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、</w:t>
      </w:r>
      <w:r w:rsidRPr="00C62AD8">
        <w:rPr>
          <w:rFonts w:ascii="宋体" w:hAnsi="宋体" w:cs="Arial"/>
          <w:bCs/>
          <w:color w:val="000000" w:themeColor="text1"/>
          <w:szCs w:val="21"/>
        </w:rPr>
        <w:t>380V/3Ph/50Hz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、气温摄氏</w:t>
      </w:r>
      <w:r w:rsidRPr="00C62AD8">
        <w:rPr>
          <w:rFonts w:ascii="宋体" w:hAnsi="宋体" w:cs="Arial"/>
          <w:bCs/>
          <w:color w:val="000000" w:themeColor="text1"/>
          <w:szCs w:val="21"/>
        </w:rPr>
        <w:t>+15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℃～＋</w:t>
      </w:r>
      <w:r w:rsidRPr="00C62AD8">
        <w:rPr>
          <w:rFonts w:ascii="宋体" w:hAnsi="宋体" w:cs="Arial"/>
          <w:bCs/>
          <w:color w:val="000000" w:themeColor="text1"/>
          <w:szCs w:val="21"/>
        </w:rPr>
        <w:t>30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℃和相对湿度小于</w:t>
      </w:r>
      <w:r w:rsidRPr="00C62AD8">
        <w:rPr>
          <w:rFonts w:ascii="宋体" w:hAnsi="宋体" w:cs="Arial"/>
          <w:bCs/>
          <w:color w:val="000000" w:themeColor="text1"/>
          <w:szCs w:val="21"/>
        </w:rPr>
        <w:t>80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％的环境条件下运行。能够连续正常工作。</w:t>
      </w:r>
    </w:p>
    <w:p w14:paraId="2FA26DCF" w14:textId="77777777" w:rsidR="00C62AD8" w:rsidRPr="00C62AD8" w:rsidRDefault="00C62AD8" w:rsidP="00C62AD8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 w:hint="eastAsia"/>
          <w:b/>
          <w:color w:val="000000" w:themeColor="text1"/>
          <w:szCs w:val="21"/>
        </w:rPr>
        <w:t>主要技术指标（★必须满足，否则会导致废标）</w:t>
      </w:r>
    </w:p>
    <w:p w14:paraId="055B7D23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★4.1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1 hPa, 50 Hz 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时，机组的额定抽气速率不小于</w:t>
      </w:r>
      <w:r w:rsidRPr="00C62AD8">
        <w:rPr>
          <w:rFonts w:ascii="宋体" w:hAnsi="宋体" w:cs="Arial"/>
          <w:bCs/>
          <w:color w:val="000000" w:themeColor="text1"/>
          <w:szCs w:val="21"/>
        </w:rPr>
        <w:t>2000 m³/h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（空气）；</w:t>
      </w:r>
    </w:p>
    <w:p w14:paraId="21DC6083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★4.2机组整体漏率＜</w:t>
      </w:r>
      <w:r w:rsidRPr="00C62AD8">
        <w:rPr>
          <w:rFonts w:ascii="宋体" w:hAnsi="宋体" w:cs="Arial"/>
          <w:bCs/>
          <w:color w:val="000000" w:themeColor="text1"/>
          <w:szCs w:val="21"/>
        </w:rPr>
        <w:t>1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E</w:t>
      </w:r>
      <w:r w:rsidRPr="00C62AD8">
        <w:rPr>
          <w:rFonts w:ascii="宋体" w:hAnsi="宋体" w:cs="Arial"/>
          <w:bCs/>
          <w:color w:val="000000" w:themeColor="text1"/>
          <w:szCs w:val="21"/>
        </w:rPr>
        <w:t>-6mbar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 xml:space="preserve"> l</w:t>
      </w:r>
      <w:r w:rsidRPr="00C62AD8">
        <w:rPr>
          <w:rFonts w:ascii="宋体" w:hAnsi="宋体" w:cs="Arial"/>
          <w:bCs/>
          <w:color w:val="000000" w:themeColor="text1"/>
          <w:szCs w:val="21"/>
        </w:rPr>
        <w:t>/s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；</w:t>
      </w:r>
    </w:p>
    <w:p w14:paraId="1E6F4F4B" w14:textId="77777777" w:rsidR="00C62AD8" w:rsidRPr="00C62AD8" w:rsidRDefault="00C62AD8" w:rsidP="00C62AD8">
      <w:pPr>
        <w:spacing w:line="360" w:lineRule="auto"/>
        <w:ind w:left="1050" w:hangingChars="500" w:hanging="105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 xml:space="preserve">   ★4.3机组前级泵配置无油干泵</w:t>
      </w:r>
      <w:r w:rsidRPr="00C62AD8">
        <w:rPr>
          <w:rFonts w:ascii="宋体" w:hAnsi="宋体" w:cs="Arial"/>
          <w:bCs/>
          <w:color w:val="000000" w:themeColor="text1"/>
          <w:szCs w:val="21"/>
        </w:rPr>
        <w:t>,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单套机组额定抽速不小于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600m3/h( 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对空气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 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），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350m3/h( 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对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He 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）；</w:t>
      </w:r>
    </w:p>
    <w:p w14:paraId="2F41B196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4.4机组配置可移动平台，方便机组移动；</w:t>
      </w:r>
    </w:p>
    <w:p w14:paraId="064689F5" w14:textId="77777777" w:rsidR="00C62AD8" w:rsidRPr="00C62AD8" w:rsidRDefault="00C62AD8" w:rsidP="00C62AD8">
      <w:pPr>
        <w:spacing w:line="360" w:lineRule="auto"/>
        <w:ind w:firstLineChars="300" w:firstLine="63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★4.5</w:t>
      </w: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机组需提供入口从常压到极限压力范围内，泵组对空气和对</w:t>
      </w:r>
      <w:r w:rsidRPr="00C62AD8">
        <w:rPr>
          <w:rFonts w:ascii="宋体" w:hAnsi="宋体" w:cs="Arial"/>
          <w:bCs/>
          <w:color w:val="000000" w:themeColor="text1"/>
          <w:szCs w:val="21"/>
        </w:rPr>
        <w:t>He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的有效抽速；</w:t>
      </w:r>
    </w:p>
    <w:p w14:paraId="5B2733E6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4.6 机组带启动电控柜，有真空计，真空规管带根阀</w:t>
      </w:r>
    </w:p>
    <w:p w14:paraId="09FEEBBB" w14:textId="77777777" w:rsidR="00C62AD8" w:rsidRPr="00C62AD8" w:rsidRDefault="00C62AD8" w:rsidP="00C62AD8">
      <w:pPr>
        <w:spacing w:line="360" w:lineRule="auto"/>
        <w:ind w:firstLineChars="300" w:firstLine="63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4.7主抽空管道带DN100隔断阀门，并配备DN100，DN50，DN40多种规格抽空接口</w:t>
      </w:r>
      <w:r w:rsidRPr="00C62AD8">
        <w:rPr>
          <w:rFonts w:ascii="宋体" w:hAnsi="宋体" w:cs="Arial"/>
          <w:bCs/>
          <w:color w:val="000000" w:themeColor="text1"/>
          <w:szCs w:val="21"/>
        </w:rPr>
        <w:t xml:space="preserve"> </w:t>
      </w:r>
    </w:p>
    <w:p w14:paraId="13A60B00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★4.8机组自带水冷系统；</w:t>
      </w:r>
    </w:p>
    <w:p w14:paraId="6400BCF7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/>
          <w:bCs/>
          <w:color w:val="000000" w:themeColor="text1"/>
          <w:szCs w:val="21"/>
        </w:rPr>
        <w:t>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4.9机组排气需要回收，机组须提供接口配套法兰</w:t>
      </w:r>
      <w:r w:rsidRPr="00C62AD8">
        <w:rPr>
          <w:rFonts w:ascii="宋体" w:hAnsi="宋体" w:cs="Arial"/>
          <w:bCs/>
          <w:color w:val="000000" w:themeColor="text1"/>
          <w:szCs w:val="21"/>
        </w:rPr>
        <w:t>/</w:t>
      </w:r>
      <w:r w:rsidRPr="00C62AD8">
        <w:rPr>
          <w:rFonts w:ascii="宋体" w:hAnsi="宋体" w:cs="Arial" w:hint="eastAsia"/>
          <w:bCs/>
          <w:color w:val="000000" w:themeColor="text1"/>
          <w:szCs w:val="21"/>
        </w:rPr>
        <w:t>接头</w:t>
      </w:r>
      <w:bookmarkStart w:id="0" w:name="OLE_LINK9"/>
      <w:r w:rsidRPr="00C62AD8">
        <w:rPr>
          <w:rFonts w:ascii="宋体" w:hAnsi="宋体" w:cs="Arial" w:hint="eastAsia"/>
          <w:bCs/>
          <w:color w:val="000000" w:themeColor="text1"/>
          <w:szCs w:val="21"/>
        </w:rPr>
        <w:t>，根据现场实际情况配备</w:t>
      </w:r>
      <w:bookmarkEnd w:id="0"/>
      <w:r w:rsidRPr="00C62AD8">
        <w:rPr>
          <w:rFonts w:ascii="宋体" w:hAnsi="宋体" w:cs="Arial" w:hint="eastAsia"/>
          <w:bCs/>
          <w:color w:val="000000" w:themeColor="text1"/>
          <w:szCs w:val="21"/>
        </w:rPr>
        <w:t>。</w:t>
      </w:r>
    </w:p>
    <w:p w14:paraId="0B5E31E4" w14:textId="77777777" w:rsidR="00C62AD8" w:rsidRPr="00C62AD8" w:rsidRDefault="00C62AD8" w:rsidP="00C62AD8">
      <w:pPr>
        <w:numPr>
          <w:ilvl w:val="0"/>
          <w:numId w:val="3"/>
        </w:numPr>
        <w:adjustRightInd w:val="0"/>
        <w:snapToGrid w:val="0"/>
        <w:spacing w:line="360" w:lineRule="auto"/>
        <w:ind w:left="0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/>
          <w:b/>
          <w:color w:val="000000" w:themeColor="text1"/>
          <w:szCs w:val="21"/>
        </w:rPr>
        <w:t>技术服务要求</w:t>
      </w:r>
      <w:r w:rsidRPr="00C62AD8">
        <w:rPr>
          <w:rFonts w:ascii="宋体" w:hAnsi="宋体" w:cs="Arial" w:hint="eastAsia"/>
          <w:b/>
          <w:color w:val="000000" w:themeColor="text1"/>
          <w:szCs w:val="21"/>
        </w:rPr>
        <w:t>及质保要求</w:t>
      </w:r>
    </w:p>
    <w:p w14:paraId="37ACA95B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乙方应按期向甲方提供设备设计、出厂试验、第三方试验（如有）、包装运输、安装监督、现场调试和性能测试等方面的技术支持服务。</w:t>
      </w:r>
    </w:p>
    <w:p w14:paraId="75E9E45E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乙方应针对其供货的范围免费开展一次设备安装、调试、运维方面的系统培训，并提供培训教材，培训具体内容应根据双方沟通结果确定。</w:t>
      </w:r>
    </w:p>
    <w:p w14:paraId="28EAE1F6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提供设备的保养方案，内含保养项目清单、所需备件、费用等，被随设备交付；</w:t>
      </w:r>
    </w:p>
    <w:p w14:paraId="55EB5EED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乙方负责将设备送至甲方指定地点；</w:t>
      </w:r>
    </w:p>
    <w:p w14:paraId="41A58BA8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t>乙方应提供合格证、说明书、配置软件（如有）、培训手册等全套资料，并随设备交付；</w:t>
      </w:r>
    </w:p>
    <w:p w14:paraId="06EB728B" w14:textId="77777777" w:rsidR="00C62AD8" w:rsidRPr="00C62AD8" w:rsidRDefault="00C62AD8" w:rsidP="00C62AD8">
      <w:pPr>
        <w:spacing w:line="360" w:lineRule="auto"/>
        <w:ind w:firstLine="480"/>
        <w:rPr>
          <w:rFonts w:ascii="宋体" w:hAnsi="宋体" w:cs="Arial" w:hint="eastAsia"/>
          <w:bCs/>
          <w:color w:val="000000" w:themeColor="text1"/>
          <w:szCs w:val="21"/>
        </w:rPr>
      </w:pPr>
      <w:r w:rsidRPr="00C62AD8">
        <w:rPr>
          <w:rFonts w:ascii="宋体" w:hAnsi="宋体" w:cs="Arial" w:hint="eastAsia"/>
          <w:bCs/>
          <w:color w:val="000000" w:themeColor="text1"/>
          <w:szCs w:val="21"/>
        </w:rPr>
        <w:lastRenderedPageBreak/>
        <w:t>乙方应在接到用户故障信息后12h内相应，并在5个工作日内排除故障，如有特殊情况，售后服务方应与用户进行沟通，用户同意后方可做出相关决定。</w:t>
      </w:r>
    </w:p>
    <w:p w14:paraId="1195EF0E" w14:textId="77777777" w:rsidR="00C62AD8" w:rsidRPr="00C62AD8" w:rsidRDefault="00C62AD8" w:rsidP="00C62AD8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/>
          <w:b/>
          <w:color w:val="000000" w:themeColor="text1"/>
          <w:szCs w:val="21"/>
        </w:rPr>
        <w:t>验收标准及验收程序</w:t>
      </w:r>
    </w:p>
    <w:p w14:paraId="4000942C" w14:textId="77777777" w:rsidR="00C62AD8" w:rsidRPr="00C62AD8" w:rsidRDefault="00C62AD8" w:rsidP="00C62AD8">
      <w:pPr>
        <w:widowControl/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  <w:lang w:val="en-GB"/>
        </w:rPr>
      </w:pPr>
      <w:r w:rsidRPr="00C62AD8">
        <w:rPr>
          <w:rFonts w:ascii="宋体" w:hAnsi="宋体" w:hint="eastAsia"/>
          <w:color w:val="000000" w:themeColor="text1"/>
          <w:kern w:val="0"/>
          <w:szCs w:val="21"/>
          <w:lang w:val="en-GB"/>
        </w:rPr>
        <w:t>乙方所提供的设备必须有完整而且详细的检验报告（标定数据）或产品合格证书。</w:t>
      </w:r>
    </w:p>
    <w:p w14:paraId="71413CA4" w14:textId="77777777" w:rsidR="00C62AD8" w:rsidRPr="00C62AD8" w:rsidRDefault="00C62AD8" w:rsidP="00C62AD8">
      <w:pPr>
        <w:widowControl/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  <w:lang w:val="en-GB"/>
        </w:rPr>
      </w:pPr>
      <w:r w:rsidRPr="00C62AD8">
        <w:rPr>
          <w:rFonts w:ascii="宋体" w:hAnsi="宋体" w:hint="eastAsia"/>
          <w:color w:val="000000" w:themeColor="text1"/>
          <w:kern w:val="0"/>
          <w:szCs w:val="21"/>
          <w:lang w:val="en-GB"/>
        </w:rPr>
        <w:t>设备运抵现场之后，甲方将对设备进行验收，如果设备自身质量出现问题，将在质保期内联系乙方免费进行更换，期间的包装和运输由乙方负责，设备到货开箱验收要求乙方到场确认。</w:t>
      </w:r>
    </w:p>
    <w:p w14:paraId="6EC0458E" w14:textId="77777777" w:rsidR="00C62AD8" w:rsidRPr="00C62AD8" w:rsidRDefault="00C62AD8" w:rsidP="00C62AD8">
      <w:pPr>
        <w:widowControl/>
        <w:spacing w:line="360" w:lineRule="auto"/>
        <w:ind w:firstLineChars="83" w:firstLine="174"/>
        <w:rPr>
          <w:rFonts w:ascii="宋体" w:hAnsi="宋体"/>
          <w:color w:val="000000" w:themeColor="text1"/>
          <w:kern w:val="0"/>
          <w:szCs w:val="21"/>
        </w:rPr>
      </w:pPr>
      <w:r w:rsidRPr="00C62AD8">
        <w:rPr>
          <w:rFonts w:ascii="宋体" w:hAnsi="宋体" w:hint="eastAsia"/>
          <w:color w:val="000000" w:themeColor="text1"/>
          <w:kern w:val="0"/>
          <w:szCs w:val="21"/>
        </w:rPr>
        <w:t>验收方案：</w:t>
      </w:r>
    </w:p>
    <w:p w14:paraId="61393AAA" w14:textId="77777777" w:rsidR="00C62AD8" w:rsidRPr="00C62AD8" w:rsidRDefault="00C62AD8" w:rsidP="00C62AD8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rFonts w:ascii="宋体" w:hAnsi="宋体" w:cs="Calibri"/>
          <w:color w:val="000000" w:themeColor="text1"/>
          <w:kern w:val="0"/>
          <w:szCs w:val="21"/>
        </w:rPr>
      </w:pPr>
      <w:r w:rsidRPr="00C62AD8">
        <w:rPr>
          <w:rFonts w:ascii="宋体" w:hAnsi="宋体" w:cs="Calibri" w:hint="eastAsia"/>
          <w:color w:val="000000" w:themeColor="text1"/>
          <w:kern w:val="0"/>
          <w:szCs w:val="21"/>
        </w:rPr>
        <w:t>开箱检验</w:t>
      </w:r>
    </w:p>
    <w:p w14:paraId="6B8C831E" w14:textId="77777777" w:rsidR="00C62AD8" w:rsidRPr="00C62AD8" w:rsidRDefault="00C62AD8" w:rsidP="00C62AD8">
      <w:pPr>
        <w:widowControl/>
        <w:numPr>
          <w:ilvl w:val="0"/>
          <w:numId w:val="5"/>
        </w:numPr>
        <w:spacing w:line="360" w:lineRule="auto"/>
        <w:ind w:left="0" w:firstLineChars="200" w:firstLine="420"/>
        <w:rPr>
          <w:rFonts w:ascii="宋体" w:hAnsi="宋体" w:cs="Calibri"/>
          <w:color w:val="000000" w:themeColor="text1"/>
          <w:kern w:val="0"/>
          <w:szCs w:val="21"/>
        </w:rPr>
      </w:pPr>
      <w:r w:rsidRPr="00C62AD8">
        <w:rPr>
          <w:rFonts w:ascii="宋体" w:hAnsi="宋体" w:cs="Calibri" w:hint="eastAsia"/>
          <w:color w:val="000000" w:themeColor="text1"/>
          <w:kern w:val="0"/>
          <w:szCs w:val="21"/>
        </w:rPr>
        <w:t>设备到达甲方现场后，按本技术协议提供的设备规格型号及技术资料进行开箱检验：内容至少包括：产品包装的完整性、产品外观和数量、技术资料是否齐全等。</w:t>
      </w:r>
    </w:p>
    <w:p w14:paraId="088EFD4E" w14:textId="77777777" w:rsidR="00C62AD8" w:rsidRPr="00C62AD8" w:rsidRDefault="00C62AD8" w:rsidP="00C62AD8">
      <w:pPr>
        <w:widowControl/>
        <w:numPr>
          <w:ilvl w:val="0"/>
          <w:numId w:val="5"/>
        </w:numPr>
        <w:spacing w:line="360" w:lineRule="auto"/>
        <w:ind w:left="0" w:firstLineChars="200" w:firstLine="420"/>
        <w:rPr>
          <w:rFonts w:ascii="宋体" w:hAnsi="宋体" w:cs="Calibri"/>
          <w:color w:val="000000" w:themeColor="text1"/>
          <w:kern w:val="0"/>
          <w:szCs w:val="21"/>
        </w:rPr>
      </w:pPr>
      <w:r w:rsidRPr="00C62AD8">
        <w:rPr>
          <w:rFonts w:ascii="宋体" w:hAnsi="宋体" w:cs="Calibri" w:hint="eastAsia"/>
          <w:color w:val="000000" w:themeColor="text1"/>
          <w:kern w:val="0"/>
          <w:szCs w:val="21"/>
        </w:rPr>
        <w:t>本技术协议下的罗茨泵抽空机组是全新的，规格型号和技术指标与符合协议要求。如发现不符合本技术协议要求的产品，乙方应及时更换。</w:t>
      </w:r>
    </w:p>
    <w:p w14:paraId="70983FEC" w14:textId="77777777" w:rsidR="00C62AD8" w:rsidRPr="00C62AD8" w:rsidRDefault="00C62AD8" w:rsidP="00C62AD8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rFonts w:ascii="宋体" w:hAnsi="宋体" w:cs="Calibri"/>
          <w:color w:val="000000" w:themeColor="text1"/>
          <w:kern w:val="0"/>
          <w:szCs w:val="21"/>
        </w:rPr>
      </w:pPr>
      <w:r w:rsidRPr="00C62AD8">
        <w:rPr>
          <w:rFonts w:ascii="宋体" w:hAnsi="宋体" w:cs="Calibri" w:hint="eastAsia"/>
          <w:color w:val="000000" w:themeColor="text1"/>
          <w:kern w:val="0"/>
          <w:szCs w:val="21"/>
        </w:rPr>
        <w:t>罗茨泵抽空机组主要技术指标的验收方法和验收标准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965"/>
        <w:gridCol w:w="2110"/>
        <w:gridCol w:w="2337"/>
        <w:gridCol w:w="2551"/>
      </w:tblGrid>
      <w:tr w:rsidR="00C62AD8" w:rsidRPr="00C62AD8" w14:paraId="4908F083" w14:textId="77777777" w:rsidTr="00ED5CA4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F7B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4724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指标名称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887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指标参数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4FA" w14:textId="77777777" w:rsidR="00C62AD8" w:rsidRPr="00C62AD8" w:rsidRDefault="00C62AD8" w:rsidP="00C62AD8">
            <w:pPr>
              <w:widowControl/>
              <w:snapToGrid w:val="0"/>
              <w:spacing w:line="360" w:lineRule="auto"/>
              <w:ind w:firstLineChars="200" w:firstLine="420"/>
              <w:rPr>
                <w:rFonts w:ascii="宋体" w:hAnsi="宋体"/>
                <w:bCs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验收方法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3DCE" w14:textId="77777777" w:rsidR="00C62AD8" w:rsidRPr="00C62AD8" w:rsidRDefault="00C62AD8" w:rsidP="00C62AD8">
            <w:pPr>
              <w:widowControl/>
              <w:snapToGrid w:val="0"/>
              <w:spacing w:line="360" w:lineRule="auto"/>
              <w:ind w:firstLineChars="200" w:firstLine="420"/>
              <w:rPr>
                <w:rFonts w:ascii="宋体" w:hAnsi="宋体"/>
                <w:bCs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验收标准</w:t>
            </w:r>
          </w:p>
        </w:tc>
      </w:tr>
      <w:tr w:rsidR="00C62AD8" w:rsidRPr="00C62AD8" w14:paraId="554790ED" w14:textId="77777777" w:rsidTr="00ED5CA4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A1E9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color w:val="000000" w:themeColor="text1"/>
                <w:kern w:val="0"/>
                <w:szCs w:val="21"/>
                <w:lang w:eastAsia="en-US"/>
              </w:rPr>
            </w:pPr>
            <w:r w:rsidRPr="00C62AD8">
              <w:rPr>
                <w:rFonts w:ascii="宋体" w:hAnsi="宋体"/>
                <w:color w:val="000000" w:themeColor="text1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5D0F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62AD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罗茨泵组整体漏率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433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62AD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＜</w:t>
            </w:r>
            <w:r w:rsidRPr="00C62AD8">
              <w:rPr>
                <w:rFonts w:ascii="宋体" w:hAnsi="宋体"/>
                <w:color w:val="000000" w:themeColor="text1"/>
                <w:kern w:val="0"/>
                <w:szCs w:val="21"/>
              </w:rPr>
              <w:t>1E-6mbar l/s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9ADE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62AD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使用普发</w:t>
            </w:r>
            <w:r w:rsidRPr="00C62AD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  <w:r w:rsidRPr="00C62AD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莱宝等一线品牌检漏仪，对整套机组进行漏率检测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788" w14:textId="77777777" w:rsidR="00C62AD8" w:rsidRPr="00C62AD8" w:rsidRDefault="00C62AD8" w:rsidP="00C62AD8">
            <w:pPr>
              <w:widowControl/>
              <w:snapToGrid w:val="0"/>
              <w:spacing w:line="360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62AD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＜</w:t>
            </w:r>
            <w:r w:rsidRPr="00C62AD8">
              <w:rPr>
                <w:rFonts w:ascii="宋体" w:hAnsi="宋体"/>
                <w:color w:val="000000" w:themeColor="text1"/>
                <w:kern w:val="0"/>
                <w:szCs w:val="21"/>
              </w:rPr>
              <w:t>1E-6mbar l/s</w:t>
            </w:r>
          </w:p>
        </w:tc>
      </w:tr>
    </w:tbl>
    <w:p w14:paraId="358FA9BE" w14:textId="77777777" w:rsidR="00C62AD8" w:rsidRPr="00C62AD8" w:rsidRDefault="00C62AD8" w:rsidP="00C62AD8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 w:themeColor="text1"/>
          <w:szCs w:val="21"/>
        </w:rPr>
      </w:pPr>
    </w:p>
    <w:p w14:paraId="636FA91A" w14:textId="77777777" w:rsidR="00C62AD8" w:rsidRPr="00C62AD8" w:rsidRDefault="00C62AD8" w:rsidP="00C62AD8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 w:themeColor="text1"/>
          <w:szCs w:val="21"/>
        </w:rPr>
      </w:pPr>
      <w:r w:rsidRPr="00C62AD8">
        <w:rPr>
          <w:rFonts w:ascii="宋体" w:hAnsi="宋体" w:cs="Arial" w:hint="eastAsia"/>
          <w:b/>
          <w:color w:val="000000" w:themeColor="text1"/>
          <w:szCs w:val="21"/>
        </w:rPr>
        <w:t>包装运输要求</w:t>
      </w:r>
    </w:p>
    <w:p w14:paraId="4DB7246F" w14:textId="77777777" w:rsidR="00C62AD8" w:rsidRPr="00C62AD8" w:rsidRDefault="00C62AD8" w:rsidP="00C62AD8">
      <w:pPr>
        <w:adjustRightInd w:val="0"/>
        <w:spacing w:line="360" w:lineRule="auto"/>
        <w:ind w:firstLine="480"/>
        <w:rPr>
          <w:rFonts w:ascii="宋体" w:hAnsi="宋体"/>
          <w:color w:val="000000" w:themeColor="text1"/>
          <w:kern w:val="0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乙方负责相关设备的包装与运输，并按照甲方指定的方式运达指定地点，乙方应与甲方确定具体的发货日期与要求，并在发货前10天通知甲方收货，乙方应与甲方一同开箱验收。</w:t>
      </w:r>
    </w:p>
    <w:p w14:paraId="05FD95F0" w14:textId="77777777" w:rsidR="00C62AD8" w:rsidRPr="00C62AD8" w:rsidRDefault="00C62AD8" w:rsidP="00C62AD8">
      <w:pPr>
        <w:adjustRightInd w:val="0"/>
        <w:snapToGrid w:val="0"/>
        <w:spacing w:line="360" w:lineRule="auto"/>
        <w:ind w:firstLine="48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乙方在设备运输前应按照GB/T 191开展相关的设备包装与防护工作，不限于以下要求：</w:t>
      </w:r>
    </w:p>
    <w:p w14:paraId="6C6DC2F8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设备制造完成并通过出厂验收试验后，应及时包装，并得到切实的防护，确保不受污损。</w:t>
      </w:r>
    </w:p>
    <w:p w14:paraId="49DD996E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所有部件应经妥善包装或装箱，在运输过程中采取防护措施，以免散失、损坏或被盗。</w:t>
      </w:r>
    </w:p>
    <w:p w14:paraId="5553FC2F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在包装箱外标明订货号、发货号。</w:t>
      </w:r>
    </w:p>
    <w:p w14:paraId="11FE6E25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包装箱应能确保各部件在运输过程中不致遭到损坏、丢失、变形、受潮和腐蚀。</w:t>
      </w:r>
    </w:p>
    <w:p w14:paraId="68D43776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包装箱上都有明显的包装储运图示标志。</w:t>
      </w:r>
    </w:p>
    <w:p w14:paraId="3060A8A6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整体产品和部件都要适合运输和装载的要求。</w:t>
      </w:r>
    </w:p>
    <w:p w14:paraId="0732A8AC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装箱资料至少应包括：装箱单、设备试验报告、产品合格证等；备件应提供单独的合格证。</w:t>
      </w:r>
    </w:p>
    <w:p w14:paraId="3D7D8316" w14:textId="77777777" w:rsidR="00C62AD8" w:rsidRPr="00C62AD8" w:rsidRDefault="00C62AD8" w:rsidP="00C62AD8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 w:themeColor="text1"/>
          <w:szCs w:val="21"/>
        </w:rPr>
      </w:pPr>
      <w:r w:rsidRPr="00C62AD8">
        <w:rPr>
          <w:rFonts w:ascii="宋体" w:hAnsi="宋体" w:hint="eastAsia"/>
          <w:color w:val="000000" w:themeColor="text1"/>
          <w:szCs w:val="21"/>
        </w:rPr>
        <w:t>乙方对所供所有设备的包装、运输和装卸负责，如果在此过程引起设备的外观和内部的损坏等质量问题，全部由乙方负责。包装箱上都有明显的包装储运图示标志。</w:t>
      </w:r>
    </w:p>
    <w:p w14:paraId="131AAA1A" w14:textId="77777777" w:rsidR="00C62AD8" w:rsidRPr="00C62AD8" w:rsidRDefault="00C62AD8" w:rsidP="00C62AD8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</w:p>
    <w:p w14:paraId="39418454" w14:textId="77777777" w:rsidR="00D558D3" w:rsidRPr="00C62AD8" w:rsidRDefault="00D558D3" w:rsidP="00C62AD8">
      <w:pPr>
        <w:spacing w:line="360" w:lineRule="auto"/>
        <w:rPr>
          <w:rFonts w:ascii="宋体" w:hAnsi="宋体" w:hint="eastAsia"/>
          <w:szCs w:val="21"/>
        </w:rPr>
      </w:pPr>
    </w:p>
    <w:sectPr w:rsidR="00D558D3" w:rsidRPr="00C62AD8" w:rsidSect="00C62AD8">
      <w:pgSz w:w="11907" w:h="16840"/>
      <w:pgMar w:top="1440" w:right="1106" w:bottom="936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D2B9" w14:textId="77777777" w:rsidR="004F79F0" w:rsidRDefault="004F79F0" w:rsidP="00C62AD8">
      <w:pPr>
        <w:rPr>
          <w:rFonts w:hint="eastAsia"/>
        </w:rPr>
      </w:pPr>
      <w:r>
        <w:separator/>
      </w:r>
    </w:p>
  </w:endnote>
  <w:endnote w:type="continuationSeparator" w:id="0">
    <w:p w14:paraId="1A474451" w14:textId="77777777" w:rsidR="004F79F0" w:rsidRDefault="004F79F0" w:rsidP="00C62A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5FEE" w14:textId="77777777" w:rsidR="004F79F0" w:rsidRDefault="004F79F0" w:rsidP="00C62AD8">
      <w:pPr>
        <w:rPr>
          <w:rFonts w:hint="eastAsia"/>
        </w:rPr>
      </w:pPr>
      <w:r>
        <w:separator/>
      </w:r>
    </w:p>
  </w:footnote>
  <w:footnote w:type="continuationSeparator" w:id="0">
    <w:p w14:paraId="6B005FEB" w14:textId="77777777" w:rsidR="004F79F0" w:rsidRDefault="004F79F0" w:rsidP="00C62A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F55BB0"/>
    <w:multiLevelType w:val="singleLevel"/>
    <w:tmpl w:val="A9F55BB0"/>
    <w:lvl w:ilvl="0">
      <w:start w:val="1"/>
      <w:numFmt w:val="decimal"/>
      <w:lvlText w:val="%1."/>
      <w:lvlJc w:val="left"/>
      <w:pPr>
        <w:ind w:left="567" w:hanging="425"/>
      </w:pPr>
    </w:lvl>
  </w:abstractNum>
  <w:abstractNum w:abstractNumId="1" w15:restartNumberingAfterBreak="0">
    <w:nsid w:val="F5E0836F"/>
    <w:multiLevelType w:val="singleLevel"/>
    <w:tmpl w:val="F5E0836F"/>
    <w:lvl w:ilvl="0">
      <w:start w:val="1"/>
      <w:numFmt w:val="lowerLetter"/>
      <w:lvlText w:val="%1."/>
      <w:lvlJc w:val="left"/>
      <w:pPr>
        <w:ind w:left="425" w:hanging="425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3" w15:restartNumberingAfterBreak="0">
    <w:nsid w:val="1A986E63"/>
    <w:multiLevelType w:val="multilevel"/>
    <w:tmpl w:val="1A986E63"/>
    <w:lvl w:ilvl="0">
      <w:start w:val="1"/>
      <w:numFmt w:val="decimal"/>
      <w:lvlText w:val="%1)"/>
      <w:lvlJc w:val="left"/>
      <w:pPr>
        <w:tabs>
          <w:tab w:val="left" w:pos="420"/>
        </w:tabs>
        <w:ind w:left="1691" w:hanging="420"/>
      </w:p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2111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31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2951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3371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3791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4211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4631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5051" w:hanging="420"/>
      </w:pPr>
    </w:lvl>
  </w:abstractNum>
  <w:abstractNum w:abstractNumId="4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5666856">
    <w:abstractNumId w:val="2"/>
  </w:num>
  <w:num w:numId="2" w16cid:durableId="1612132431">
    <w:abstractNumId w:val="5"/>
  </w:num>
  <w:num w:numId="3" w16cid:durableId="60176826">
    <w:abstractNumId w:val="4"/>
  </w:num>
  <w:num w:numId="4" w16cid:durableId="1742485227">
    <w:abstractNumId w:val="0"/>
    <w:lvlOverride w:ilvl="0">
      <w:startOverride w:val="1"/>
    </w:lvlOverride>
  </w:num>
  <w:num w:numId="5" w16cid:durableId="527911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4315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E2"/>
    <w:rsid w:val="004F79F0"/>
    <w:rsid w:val="007E05E2"/>
    <w:rsid w:val="00937BB4"/>
    <w:rsid w:val="00A43361"/>
    <w:rsid w:val="00C27AB5"/>
    <w:rsid w:val="00C62AD8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3CB9"/>
  <w15:chartTrackingRefBased/>
  <w15:docId w15:val="{A53A50FD-3C3C-4064-A437-7B0C602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05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05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A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2A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2AD8"/>
    <w:rPr>
      <w:sz w:val="18"/>
      <w:szCs w:val="18"/>
    </w:rPr>
  </w:style>
  <w:style w:type="character" w:customStyle="1" w:styleId="1Char1">
    <w:name w:val="标题 1 Char1"/>
    <w:rsid w:val="00C62AD8"/>
    <w:rPr>
      <w:rFonts w:ascii="宋体" w:hAnsi="宋体"/>
      <w:b/>
      <w:color w:val="000000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2025-07-08T08:27:00Z</dcterms:created>
  <dcterms:modified xsi:type="dcterms:W3CDTF">2025-07-08T08:31:00Z</dcterms:modified>
</cp:coreProperties>
</file>