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115" w:rsidRPr="00BA4115" w:rsidRDefault="00BA4115" w:rsidP="00BA4115">
      <w:pPr>
        <w:spacing w:line="360" w:lineRule="auto"/>
        <w:jc w:val="center"/>
        <w:outlineLvl w:val="1"/>
        <w:rPr>
          <w:rFonts w:asciiTheme="minorEastAsia" w:eastAsiaTheme="minorEastAsia" w:hAnsiTheme="minorEastAsia"/>
          <w:b/>
          <w:sz w:val="28"/>
        </w:rPr>
      </w:pPr>
      <w:r w:rsidRPr="00BA4115">
        <w:rPr>
          <w:rFonts w:asciiTheme="minorEastAsia" w:eastAsiaTheme="minorEastAsia" w:hAnsiTheme="minorEastAsia" w:hint="eastAsia"/>
          <w:b/>
          <w:sz w:val="28"/>
        </w:rPr>
        <w:t>采购需求</w:t>
      </w:r>
    </w:p>
    <w:p w:rsidR="00BA4115" w:rsidRPr="00BA4115" w:rsidRDefault="00BA4115" w:rsidP="00BA4115">
      <w:pPr>
        <w:spacing w:line="360" w:lineRule="auto"/>
        <w:ind w:firstLine="437"/>
        <w:rPr>
          <w:rFonts w:ascii="宋体" w:eastAsia="宋体" w:hAnsi="宋体"/>
          <w:b/>
          <w:sz w:val="24"/>
          <w:szCs w:val="18"/>
        </w:rPr>
      </w:pPr>
      <w:r w:rsidRPr="00BA4115">
        <w:rPr>
          <w:rFonts w:ascii="宋体" w:eastAsia="宋体" w:hAnsi="宋体" w:hint="eastAsia"/>
          <w:b/>
          <w:sz w:val="24"/>
          <w:szCs w:val="18"/>
        </w:rPr>
        <w:t>二、</w:t>
      </w:r>
      <w:r w:rsidRPr="00BA4115">
        <w:rPr>
          <w:rFonts w:ascii="宋体" w:eastAsia="宋体" w:hAnsi="宋体"/>
          <w:b/>
          <w:sz w:val="24"/>
          <w:szCs w:val="18"/>
        </w:rPr>
        <w:t>货物需求一览表</w:t>
      </w:r>
    </w:p>
    <w:tbl>
      <w:tblPr>
        <w:tblW w:w="6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78"/>
        <w:gridCol w:w="1239"/>
        <w:gridCol w:w="1280"/>
      </w:tblGrid>
      <w:tr w:rsidR="00BA4115" w:rsidRPr="00BA4115" w:rsidTr="00607A9C">
        <w:trPr>
          <w:trHeight w:val="567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BA4115" w:rsidRPr="00BA4115" w:rsidRDefault="00BA4115" w:rsidP="00607A9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18"/>
              </w:rPr>
            </w:pPr>
            <w:r w:rsidRPr="00BA4115">
              <w:rPr>
                <w:rFonts w:ascii="宋体" w:eastAsia="宋体" w:hAnsi="宋体" w:hint="eastAsia"/>
                <w:sz w:val="24"/>
                <w:szCs w:val="18"/>
              </w:rPr>
              <w:t>序号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BA4115" w:rsidRPr="00BA4115" w:rsidRDefault="00BA4115" w:rsidP="00607A9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18"/>
              </w:rPr>
            </w:pPr>
            <w:r w:rsidRPr="00BA4115">
              <w:rPr>
                <w:rFonts w:ascii="宋体" w:eastAsia="宋体" w:hAnsi="宋体" w:hint="eastAsia"/>
                <w:sz w:val="24"/>
                <w:szCs w:val="18"/>
              </w:rPr>
              <w:t>货物名称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A4115" w:rsidRPr="00BA4115" w:rsidRDefault="00BA4115" w:rsidP="00607A9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18"/>
              </w:rPr>
            </w:pPr>
            <w:r w:rsidRPr="00BA4115">
              <w:rPr>
                <w:rFonts w:ascii="宋体" w:eastAsia="宋体" w:hAnsi="宋体" w:hint="eastAsia"/>
                <w:sz w:val="24"/>
                <w:szCs w:val="18"/>
              </w:rPr>
              <w:t>数量</w:t>
            </w:r>
          </w:p>
        </w:tc>
        <w:tc>
          <w:tcPr>
            <w:tcW w:w="1280" w:type="dxa"/>
            <w:vAlign w:val="center"/>
          </w:tcPr>
          <w:p w:rsidR="00BA4115" w:rsidRPr="00BA4115" w:rsidRDefault="00BA4115" w:rsidP="00607A9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18"/>
              </w:rPr>
            </w:pPr>
            <w:r w:rsidRPr="00BA4115">
              <w:rPr>
                <w:rFonts w:ascii="宋体" w:eastAsia="宋体" w:hAnsi="宋体" w:hint="eastAsia"/>
                <w:sz w:val="24"/>
                <w:szCs w:val="18"/>
              </w:rPr>
              <w:t>交货期</w:t>
            </w:r>
          </w:p>
        </w:tc>
      </w:tr>
      <w:tr w:rsidR="00BA4115" w:rsidRPr="00BA4115" w:rsidTr="00607A9C">
        <w:trPr>
          <w:trHeight w:val="567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BA4115" w:rsidRPr="00BA4115" w:rsidRDefault="00BA4115" w:rsidP="00607A9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18"/>
              </w:rPr>
            </w:pPr>
            <w:r w:rsidRPr="00BA4115">
              <w:rPr>
                <w:rFonts w:ascii="宋体" w:eastAsia="宋体" w:hAnsi="宋体" w:hint="eastAsia"/>
                <w:sz w:val="24"/>
                <w:szCs w:val="18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BA4115" w:rsidRPr="00BA4115" w:rsidRDefault="00BA4115" w:rsidP="00607A9C">
            <w:pPr>
              <w:pStyle w:val="xl31"/>
              <w:widowControl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b w:val="0"/>
                <w:sz w:val="24"/>
              </w:rPr>
            </w:pPr>
            <w:r w:rsidRPr="00BA4115">
              <w:rPr>
                <w:rFonts w:asciiTheme="minorEastAsia" w:eastAsiaTheme="minorEastAsia" w:hAnsiTheme="minorEastAsia" w:hint="eastAsia"/>
                <w:b w:val="0"/>
                <w:sz w:val="22"/>
              </w:rPr>
              <w:t>高温超导电缆（</w:t>
            </w:r>
            <w:r w:rsidRPr="00BA4115">
              <w:rPr>
                <w:rFonts w:asciiTheme="minorEastAsia" w:eastAsiaTheme="minorEastAsia" w:hAnsiTheme="minorEastAsia"/>
                <w:b w:val="0"/>
                <w:sz w:val="22"/>
              </w:rPr>
              <w:t>CORC &amp; HFRC</w:t>
            </w:r>
            <w:r w:rsidRPr="00BA4115">
              <w:rPr>
                <w:rFonts w:asciiTheme="minorEastAsia" w:eastAsiaTheme="minorEastAsia" w:hAnsiTheme="minorEastAsia" w:hint="eastAsia"/>
                <w:b w:val="0"/>
                <w:sz w:val="22"/>
              </w:rPr>
              <w:t>型）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A4115" w:rsidRPr="00BA4115" w:rsidRDefault="00BA4115" w:rsidP="00607A9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18"/>
              </w:rPr>
            </w:pPr>
            <w:r w:rsidRPr="00BA4115">
              <w:rPr>
                <w:rFonts w:ascii="宋体" w:eastAsia="宋体" w:hAnsi="宋体" w:hint="eastAsia"/>
                <w:sz w:val="24"/>
                <w:szCs w:val="18"/>
              </w:rPr>
              <w:t>4000m</w:t>
            </w:r>
          </w:p>
        </w:tc>
        <w:tc>
          <w:tcPr>
            <w:tcW w:w="1280" w:type="dxa"/>
            <w:vAlign w:val="center"/>
          </w:tcPr>
          <w:p w:rsidR="00BA4115" w:rsidRPr="00BA4115" w:rsidRDefault="00BA4115" w:rsidP="00607A9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18"/>
              </w:rPr>
            </w:pPr>
            <w:r w:rsidRPr="00BA4115">
              <w:rPr>
                <w:rFonts w:ascii="宋体" w:eastAsia="宋体" w:hAnsi="宋体" w:hint="eastAsia"/>
                <w:sz w:val="24"/>
                <w:szCs w:val="18"/>
              </w:rPr>
              <w:t>6个月</w:t>
            </w:r>
          </w:p>
        </w:tc>
      </w:tr>
    </w:tbl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/>
          <w:sz w:val="24"/>
          <w:szCs w:val="18"/>
        </w:rPr>
        <w:t>2.</w:t>
      </w:r>
      <w:r w:rsidRPr="00BA4115">
        <w:rPr>
          <w:rFonts w:ascii="宋体" w:eastAsia="宋体" w:hAnsi="宋体" w:hint="eastAsia"/>
          <w:sz w:val="24"/>
          <w:szCs w:val="18"/>
        </w:rPr>
        <w:t>1、</w:t>
      </w:r>
      <w:r w:rsidRPr="00BA4115">
        <w:rPr>
          <w:rFonts w:ascii="宋体" w:eastAsia="宋体" w:hAnsi="宋体"/>
          <w:sz w:val="24"/>
          <w:szCs w:val="18"/>
        </w:rPr>
        <w:t>设备的主要用途及功能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bookmarkStart w:id="0" w:name="_Hlk118192860"/>
      <w:bookmarkStart w:id="1" w:name="_GoBack"/>
      <w:bookmarkEnd w:id="1"/>
      <w:r w:rsidRPr="00BA4115">
        <w:rPr>
          <w:rFonts w:ascii="宋体" w:eastAsia="宋体" w:hAnsi="宋体" w:hint="eastAsia"/>
          <w:sz w:val="24"/>
          <w:szCs w:val="18"/>
        </w:rPr>
        <w:t>CORC &amp; HFRC型REBCO高温超导电缆，含dummy电缆及全超导电缆，主要用于验证大长度子缆穿缆、成型，电缆扭绞以及导体集成与成型技术，以完成长导体工艺验证与优化。</w:t>
      </w:r>
    </w:p>
    <w:bookmarkEnd w:id="0"/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/>
          <w:sz w:val="24"/>
          <w:szCs w:val="18"/>
        </w:rPr>
        <w:t>2. 2</w:t>
      </w:r>
      <w:r w:rsidRPr="00BA4115">
        <w:rPr>
          <w:rFonts w:ascii="宋体" w:eastAsia="宋体" w:hAnsi="宋体" w:hint="eastAsia"/>
          <w:sz w:val="24"/>
          <w:szCs w:val="18"/>
        </w:rPr>
        <w:t xml:space="preserve">、 </w:t>
      </w:r>
      <w:r w:rsidRPr="00BA4115">
        <w:rPr>
          <w:rFonts w:ascii="宋体" w:eastAsia="宋体" w:hAnsi="宋体"/>
          <w:sz w:val="24"/>
          <w:szCs w:val="18"/>
        </w:rPr>
        <w:t>工作条件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>磁体运行温度20K以下；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/>
          <w:sz w:val="24"/>
          <w:szCs w:val="18"/>
        </w:rPr>
        <w:t>2.3</w:t>
      </w:r>
      <w:r w:rsidRPr="00BA4115">
        <w:rPr>
          <w:rFonts w:ascii="宋体" w:eastAsia="宋体" w:hAnsi="宋体" w:hint="eastAsia"/>
          <w:sz w:val="24"/>
          <w:szCs w:val="18"/>
        </w:rPr>
        <w:t>、</w:t>
      </w:r>
      <w:r w:rsidRPr="00BA4115">
        <w:rPr>
          <w:rFonts w:ascii="宋体" w:eastAsia="宋体" w:hAnsi="宋体"/>
          <w:sz w:val="24"/>
          <w:szCs w:val="18"/>
        </w:rPr>
        <w:t xml:space="preserve"> 技术性能指标要求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/>
          <w:sz w:val="24"/>
          <w:szCs w:val="18"/>
        </w:rPr>
        <w:t>2.1</w:t>
      </w:r>
      <w:r w:rsidRPr="00BA4115">
        <w:rPr>
          <w:rFonts w:ascii="宋体" w:eastAsia="宋体" w:hAnsi="宋体" w:hint="eastAsia"/>
          <w:sz w:val="24"/>
          <w:szCs w:val="18"/>
        </w:rPr>
        <w:t>高温超导</w:t>
      </w:r>
      <w:r w:rsidRPr="00BA4115">
        <w:rPr>
          <w:rFonts w:ascii="宋体" w:eastAsia="宋体" w:hAnsi="宋体"/>
          <w:sz w:val="24"/>
          <w:szCs w:val="18"/>
        </w:rPr>
        <w:t>dummy</w:t>
      </w:r>
      <w:r w:rsidRPr="00BA4115">
        <w:rPr>
          <w:rFonts w:ascii="宋体" w:eastAsia="宋体" w:hAnsi="宋体" w:hint="eastAsia"/>
          <w:sz w:val="24"/>
          <w:szCs w:val="18"/>
        </w:rPr>
        <w:t>电缆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bookmarkStart w:id="2" w:name="OLE_LINK87"/>
      <w:r w:rsidRPr="00BA4115">
        <w:rPr>
          <w:rFonts w:ascii="宋体" w:eastAsia="宋体" w:hAnsi="宋体" w:hint="eastAsia"/>
          <w:sz w:val="24"/>
          <w:szCs w:val="18"/>
        </w:rPr>
        <w:t>- 单根</w:t>
      </w:r>
      <w:r w:rsidRPr="00BA4115">
        <w:rPr>
          <w:rFonts w:ascii="宋体" w:eastAsia="宋体" w:hAnsi="宋体"/>
          <w:sz w:val="24"/>
          <w:szCs w:val="18"/>
        </w:rPr>
        <w:t>dummy</w:t>
      </w:r>
      <w:r w:rsidRPr="00BA4115">
        <w:rPr>
          <w:rFonts w:ascii="宋体" w:eastAsia="宋体" w:hAnsi="宋体" w:hint="eastAsia"/>
          <w:sz w:val="24"/>
          <w:szCs w:val="18"/>
        </w:rPr>
        <w:t>电缆长度≥</w:t>
      </w:r>
      <w:r w:rsidRPr="00BA4115">
        <w:rPr>
          <w:rFonts w:ascii="宋体" w:eastAsia="宋体" w:hAnsi="宋体"/>
          <w:sz w:val="24"/>
          <w:szCs w:val="18"/>
        </w:rPr>
        <w:t>300 m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>- 电缆结构：</w:t>
      </w:r>
      <w:r w:rsidRPr="00BA4115">
        <w:rPr>
          <w:rFonts w:ascii="宋体" w:eastAsia="宋体" w:hAnsi="宋体"/>
          <w:sz w:val="24"/>
          <w:szCs w:val="18"/>
        </w:rPr>
        <w:t>2</w:t>
      </w:r>
      <w:r w:rsidRPr="00BA4115">
        <w:rPr>
          <w:rFonts w:ascii="宋体" w:eastAsia="宋体" w:hAnsi="宋体" w:hint="eastAsia"/>
          <w:sz w:val="24"/>
          <w:szCs w:val="18"/>
        </w:rPr>
        <w:t>×</w:t>
      </w:r>
      <w:r w:rsidRPr="00BA4115">
        <w:rPr>
          <w:rFonts w:ascii="宋体" w:eastAsia="宋体" w:hAnsi="宋体"/>
          <w:sz w:val="24"/>
          <w:szCs w:val="18"/>
        </w:rPr>
        <w:t>7+3</w:t>
      </w:r>
      <w:r w:rsidRPr="00BA4115">
        <w:rPr>
          <w:rFonts w:ascii="宋体" w:eastAsia="宋体" w:hAnsi="宋体" w:hint="eastAsia"/>
          <w:sz w:val="24"/>
          <w:szCs w:val="18"/>
        </w:rPr>
        <w:t>×</w:t>
      </w:r>
      <w:r w:rsidRPr="00BA4115">
        <w:rPr>
          <w:rFonts w:ascii="宋体" w:eastAsia="宋体" w:hAnsi="宋体"/>
          <w:sz w:val="24"/>
          <w:szCs w:val="18"/>
        </w:rPr>
        <w:t>8+4</w:t>
      </w:r>
      <w:r w:rsidRPr="00BA4115">
        <w:rPr>
          <w:rFonts w:ascii="宋体" w:eastAsia="宋体" w:hAnsi="宋体" w:hint="eastAsia"/>
          <w:sz w:val="24"/>
          <w:szCs w:val="18"/>
        </w:rPr>
        <w:t>×</w:t>
      </w:r>
      <w:r w:rsidRPr="00BA4115">
        <w:rPr>
          <w:rFonts w:ascii="宋体" w:eastAsia="宋体" w:hAnsi="宋体"/>
          <w:sz w:val="24"/>
          <w:szCs w:val="18"/>
        </w:rPr>
        <w:t xml:space="preserve">8 </w:t>
      </w:r>
      <w:r w:rsidRPr="00BA4115">
        <w:rPr>
          <w:rFonts w:ascii="宋体" w:eastAsia="宋体" w:hAnsi="宋体" w:hint="eastAsia"/>
          <w:sz w:val="24"/>
          <w:szCs w:val="18"/>
        </w:rPr>
        <w:t>（带材数量</w:t>
      </w:r>
      <w:r w:rsidRPr="00BA4115">
        <w:rPr>
          <w:rFonts w:ascii="宋体" w:eastAsia="宋体" w:hAnsi="宋体"/>
          <w:sz w:val="24"/>
          <w:szCs w:val="18"/>
        </w:rPr>
        <w:t>x</w:t>
      </w:r>
      <w:r w:rsidRPr="00BA4115">
        <w:rPr>
          <w:rFonts w:ascii="宋体" w:eastAsia="宋体" w:hAnsi="宋体" w:hint="eastAsia"/>
          <w:sz w:val="24"/>
          <w:szCs w:val="18"/>
        </w:rPr>
        <w:t>层数）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>- 外径：</w:t>
      </w:r>
      <w:r w:rsidRPr="00BA4115">
        <w:rPr>
          <w:rFonts w:ascii="宋体" w:eastAsia="宋体" w:hAnsi="宋体"/>
          <w:sz w:val="24"/>
          <w:szCs w:val="18"/>
        </w:rPr>
        <w:t>8.8</w:t>
      </w:r>
      <w:r w:rsidRPr="00BA4115">
        <w:rPr>
          <w:rFonts w:ascii="宋体" w:eastAsia="宋体" w:hAnsi="宋体" w:hint="eastAsia"/>
          <w:sz w:val="24"/>
          <w:szCs w:val="18"/>
        </w:rPr>
        <w:t>±</w:t>
      </w:r>
      <w:r w:rsidRPr="00BA4115">
        <w:rPr>
          <w:rFonts w:ascii="宋体" w:eastAsia="宋体" w:hAnsi="宋体"/>
          <w:sz w:val="24"/>
          <w:szCs w:val="18"/>
        </w:rPr>
        <w:t>0.1mm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 xml:space="preserve">- </w:t>
      </w:r>
      <w:r w:rsidRPr="00BA4115">
        <w:rPr>
          <w:rFonts w:ascii="宋体" w:eastAsia="宋体" w:hAnsi="宋体"/>
          <w:sz w:val="24"/>
          <w:szCs w:val="18"/>
        </w:rPr>
        <w:t>SS</w:t>
      </w:r>
      <w:r w:rsidRPr="00BA4115">
        <w:rPr>
          <w:rFonts w:ascii="宋体" w:eastAsia="宋体" w:hAnsi="宋体" w:hint="eastAsia"/>
          <w:sz w:val="24"/>
          <w:szCs w:val="18"/>
        </w:rPr>
        <w:t>螺管</w:t>
      </w:r>
      <w:r w:rsidRPr="00BA4115">
        <w:rPr>
          <w:rFonts w:ascii="宋体" w:eastAsia="宋体" w:hAnsi="宋体"/>
          <w:sz w:val="24"/>
          <w:szCs w:val="18"/>
        </w:rPr>
        <w:t>/Cu</w:t>
      </w:r>
      <w:r w:rsidRPr="00BA4115">
        <w:rPr>
          <w:rFonts w:ascii="宋体" w:eastAsia="宋体" w:hAnsi="宋体" w:hint="eastAsia"/>
          <w:sz w:val="24"/>
          <w:szCs w:val="18"/>
        </w:rPr>
        <w:t>芯材</w:t>
      </w:r>
      <w:r w:rsidRPr="00BA4115">
        <w:rPr>
          <w:rFonts w:ascii="宋体" w:eastAsia="宋体" w:hAnsi="宋体"/>
          <w:sz w:val="24"/>
          <w:szCs w:val="18"/>
        </w:rPr>
        <w:t xml:space="preserve">:4.0/4.6 </w:t>
      </w:r>
      <w:r w:rsidRPr="00BA4115">
        <w:rPr>
          <w:rFonts w:ascii="宋体" w:eastAsia="宋体" w:hAnsi="宋体" w:hint="eastAsia"/>
          <w:sz w:val="24"/>
          <w:szCs w:val="18"/>
        </w:rPr>
        <w:t>±</w:t>
      </w:r>
      <w:r w:rsidRPr="00BA4115">
        <w:rPr>
          <w:rFonts w:ascii="宋体" w:eastAsia="宋体" w:hAnsi="宋体"/>
          <w:sz w:val="24"/>
          <w:szCs w:val="18"/>
        </w:rPr>
        <w:t>0.1mm</w:t>
      </w:r>
      <w:r w:rsidRPr="00BA4115">
        <w:rPr>
          <w:rFonts w:ascii="宋体" w:eastAsia="宋体" w:hAnsi="宋体" w:hint="eastAsia"/>
          <w:sz w:val="24"/>
          <w:szCs w:val="18"/>
        </w:rPr>
        <w:t>，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>- 电缆总长度≥</w:t>
      </w:r>
      <w:r w:rsidRPr="00BA4115">
        <w:rPr>
          <w:rFonts w:ascii="宋体" w:eastAsia="宋体" w:hAnsi="宋体"/>
          <w:sz w:val="24"/>
          <w:szCs w:val="18"/>
        </w:rPr>
        <w:t>3500m，单根长度≥</w:t>
      </w:r>
      <w:r w:rsidRPr="00BA4115">
        <w:rPr>
          <w:rFonts w:ascii="宋体" w:eastAsia="宋体" w:hAnsi="宋体" w:hint="eastAsia"/>
          <w:sz w:val="24"/>
          <w:szCs w:val="18"/>
        </w:rPr>
        <w:t>100m；</w:t>
      </w:r>
    </w:p>
    <w:bookmarkEnd w:id="2"/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/>
          <w:sz w:val="24"/>
          <w:szCs w:val="18"/>
        </w:rPr>
        <w:t>2.2</w:t>
      </w:r>
      <w:r w:rsidRPr="00BA4115">
        <w:rPr>
          <w:rFonts w:ascii="宋体" w:eastAsia="宋体" w:hAnsi="宋体" w:hint="eastAsia"/>
          <w:sz w:val="24"/>
          <w:szCs w:val="18"/>
        </w:rPr>
        <w:t xml:space="preserve">高温超导电缆 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>- 单根长度≥</w:t>
      </w:r>
      <w:r w:rsidRPr="00BA4115">
        <w:rPr>
          <w:rFonts w:ascii="宋体" w:eastAsia="宋体" w:hAnsi="宋体"/>
          <w:sz w:val="24"/>
          <w:szCs w:val="18"/>
        </w:rPr>
        <w:t>100 m；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>- 电缆结构：</w:t>
      </w:r>
      <w:r w:rsidRPr="00BA4115">
        <w:rPr>
          <w:rFonts w:ascii="宋体" w:eastAsia="宋体" w:hAnsi="宋体"/>
          <w:sz w:val="24"/>
          <w:szCs w:val="18"/>
        </w:rPr>
        <w:t>2</w:t>
      </w:r>
      <w:r w:rsidRPr="00BA4115">
        <w:rPr>
          <w:rFonts w:ascii="宋体" w:eastAsia="宋体" w:hAnsi="宋体" w:hint="eastAsia"/>
          <w:sz w:val="24"/>
          <w:szCs w:val="18"/>
        </w:rPr>
        <w:t>×</w:t>
      </w:r>
      <w:r w:rsidRPr="00BA4115">
        <w:rPr>
          <w:rFonts w:ascii="宋体" w:eastAsia="宋体" w:hAnsi="宋体"/>
          <w:sz w:val="24"/>
          <w:szCs w:val="18"/>
        </w:rPr>
        <w:t>7+3</w:t>
      </w:r>
      <w:r w:rsidRPr="00BA4115">
        <w:rPr>
          <w:rFonts w:ascii="宋体" w:eastAsia="宋体" w:hAnsi="宋体" w:hint="eastAsia"/>
          <w:sz w:val="24"/>
          <w:szCs w:val="18"/>
        </w:rPr>
        <w:t>×</w:t>
      </w:r>
      <w:r w:rsidRPr="00BA4115">
        <w:rPr>
          <w:rFonts w:ascii="宋体" w:eastAsia="宋体" w:hAnsi="宋体"/>
          <w:sz w:val="24"/>
          <w:szCs w:val="18"/>
        </w:rPr>
        <w:t>8+4</w:t>
      </w:r>
      <w:r w:rsidRPr="00BA4115">
        <w:rPr>
          <w:rFonts w:ascii="宋体" w:eastAsia="宋体" w:hAnsi="宋体" w:hint="eastAsia"/>
          <w:sz w:val="24"/>
          <w:szCs w:val="18"/>
        </w:rPr>
        <w:t>×</w:t>
      </w:r>
      <w:r w:rsidRPr="00BA4115">
        <w:rPr>
          <w:rFonts w:ascii="宋体" w:eastAsia="宋体" w:hAnsi="宋体"/>
          <w:sz w:val="24"/>
          <w:szCs w:val="18"/>
        </w:rPr>
        <w:t xml:space="preserve">8 </w:t>
      </w:r>
      <w:r w:rsidRPr="00BA4115">
        <w:rPr>
          <w:rFonts w:ascii="宋体" w:eastAsia="宋体" w:hAnsi="宋体" w:hint="eastAsia"/>
          <w:sz w:val="24"/>
          <w:szCs w:val="18"/>
        </w:rPr>
        <w:t>（超导带材数量</w:t>
      </w:r>
      <w:r w:rsidRPr="00BA4115">
        <w:rPr>
          <w:rFonts w:ascii="宋体" w:eastAsia="宋体" w:hAnsi="宋体"/>
          <w:sz w:val="24"/>
          <w:szCs w:val="18"/>
        </w:rPr>
        <w:t>x</w:t>
      </w:r>
      <w:r w:rsidRPr="00BA4115">
        <w:rPr>
          <w:rFonts w:ascii="宋体" w:eastAsia="宋体" w:hAnsi="宋体" w:hint="eastAsia"/>
          <w:sz w:val="24"/>
          <w:szCs w:val="18"/>
        </w:rPr>
        <w:t>层数）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>- 各层带材间隙：</w:t>
      </w:r>
      <w:r w:rsidRPr="00BA4115">
        <w:rPr>
          <w:rFonts w:ascii="宋体" w:eastAsia="宋体" w:hAnsi="宋体"/>
          <w:sz w:val="24"/>
          <w:szCs w:val="18"/>
        </w:rPr>
        <w:t>0.6</w:t>
      </w:r>
      <w:r w:rsidRPr="00BA4115">
        <w:rPr>
          <w:rFonts w:ascii="宋体" w:eastAsia="宋体" w:hAnsi="宋体" w:hint="eastAsia"/>
          <w:sz w:val="24"/>
          <w:szCs w:val="18"/>
        </w:rPr>
        <w:t>±</w:t>
      </w:r>
      <w:r w:rsidRPr="00BA4115">
        <w:rPr>
          <w:rFonts w:ascii="宋体" w:eastAsia="宋体" w:hAnsi="宋体"/>
          <w:sz w:val="24"/>
          <w:szCs w:val="18"/>
        </w:rPr>
        <w:t>0.1mm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>-外径：</w:t>
      </w:r>
      <w:r w:rsidRPr="00BA4115">
        <w:rPr>
          <w:rFonts w:ascii="宋体" w:eastAsia="宋体" w:hAnsi="宋体"/>
          <w:sz w:val="24"/>
          <w:szCs w:val="18"/>
        </w:rPr>
        <w:t>8.8</w:t>
      </w:r>
      <w:bookmarkStart w:id="3" w:name="OLE_LINK96"/>
      <w:bookmarkStart w:id="4" w:name="OLE_LINK95"/>
      <w:r w:rsidRPr="00BA4115">
        <w:rPr>
          <w:rFonts w:ascii="宋体" w:eastAsia="宋体" w:hAnsi="宋体" w:hint="eastAsia"/>
          <w:sz w:val="24"/>
          <w:szCs w:val="18"/>
        </w:rPr>
        <w:t>±</w:t>
      </w:r>
      <w:r w:rsidRPr="00BA4115">
        <w:rPr>
          <w:rFonts w:ascii="宋体" w:eastAsia="宋体" w:hAnsi="宋体"/>
          <w:sz w:val="24"/>
          <w:szCs w:val="18"/>
        </w:rPr>
        <w:t>0.1mm</w:t>
      </w:r>
      <w:bookmarkEnd w:id="3"/>
      <w:bookmarkEnd w:id="4"/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lastRenderedPageBreak/>
        <w:t xml:space="preserve">- </w:t>
      </w:r>
      <w:r w:rsidRPr="00BA4115">
        <w:rPr>
          <w:rFonts w:ascii="宋体" w:eastAsia="宋体" w:hAnsi="宋体"/>
          <w:sz w:val="24"/>
          <w:szCs w:val="18"/>
        </w:rPr>
        <w:t>SS</w:t>
      </w:r>
      <w:r w:rsidRPr="00BA4115">
        <w:rPr>
          <w:rFonts w:ascii="宋体" w:eastAsia="宋体" w:hAnsi="宋体" w:hint="eastAsia"/>
          <w:sz w:val="24"/>
          <w:szCs w:val="18"/>
        </w:rPr>
        <w:t>螺管</w:t>
      </w:r>
      <w:r w:rsidRPr="00BA4115">
        <w:rPr>
          <w:rFonts w:ascii="宋体" w:eastAsia="宋体" w:hAnsi="宋体"/>
          <w:sz w:val="24"/>
          <w:szCs w:val="18"/>
        </w:rPr>
        <w:t>/Cu</w:t>
      </w:r>
      <w:r w:rsidRPr="00BA4115">
        <w:rPr>
          <w:rFonts w:ascii="宋体" w:eastAsia="宋体" w:hAnsi="宋体" w:hint="eastAsia"/>
          <w:sz w:val="24"/>
          <w:szCs w:val="18"/>
        </w:rPr>
        <w:t>芯材</w:t>
      </w:r>
      <w:r w:rsidRPr="00BA4115">
        <w:rPr>
          <w:rFonts w:ascii="宋体" w:eastAsia="宋体" w:hAnsi="宋体"/>
          <w:sz w:val="24"/>
          <w:szCs w:val="18"/>
        </w:rPr>
        <w:t xml:space="preserve">:4.0/4.6 </w:t>
      </w:r>
      <w:r w:rsidRPr="00BA4115">
        <w:rPr>
          <w:rFonts w:ascii="宋体" w:eastAsia="宋体" w:hAnsi="宋体" w:hint="eastAsia"/>
          <w:sz w:val="24"/>
          <w:szCs w:val="18"/>
        </w:rPr>
        <w:t>±</w:t>
      </w:r>
      <w:r w:rsidRPr="00BA4115">
        <w:rPr>
          <w:rFonts w:ascii="宋体" w:eastAsia="宋体" w:hAnsi="宋体"/>
          <w:sz w:val="24"/>
          <w:szCs w:val="18"/>
        </w:rPr>
        <w:t>0.1mm</w:t>
      </w:r>
      <w:r w:rsidRPr="00BA4115">
        <w:rPr>
          <w:rFonts w:ascii="宋体" w:eastAsia="宋体" w:hAnsi="宋体" w:hint="eastAsia"/>
          <w:sz w:val="24"/>
          <w:szCs w:val="18"/>
        </w:rPr>
        <w:t>，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>- 电缆总长度≥</w:t>
      </w:r>
      <w:r w:rsidRPr="00BA4115">
        <w:rPr>
          <w:rFonts w:ascii="宋体" w:eastAsia="宋体" w:hAnsi="宋体"/>
          <w:sz w:val="24"/>
          <w:szCs w:val="18"/>
        </w:rPr>
        <w:t>500m</w:t>
      </w:r>
      <w:r w:rsidRPr="00BA4115">
        <w:rPr>
          <w:rFonts w:ascii="宋体" w:eastAsia="宋体" w:hAnsi="宋体" w:hint="eastAsia"/>
          <w:sz w:val="24"/>
          <w:szCs w:val="18"/>
        </w:rPr>
        <w:t xml:space="preserve"> （材料由甲方提供）；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bookmarkStart w:id="5" w:name="OLE_LINK99"/>
      <w:r w:rsidRPr="00BA4115">
        <w:rPr>
          <w:rFonts w:ascii="宋体" w:eastAsia="宋体" w:hAnsi="宋体" w:hint="eastAsia"/>
          <w:sz w:val="24"/>
          <w:szCs w:val="18"/>
        </w:rPr>
        <w:t>2.3表面质量要求</w:t>
      </w:r>
    </w:p>
    <w:bookmarkEnd w:id="5"/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>- 要求表面无划痕等损伤，无油污等污染；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/>
          <w:sz w:val="24"/>
          <w:szCs w:val="18"/>
        </w:rPr>
        <w:t>2.4</w:t>
      </w:r>
      <w:r w:rsidRPr="00BA4115">
        <w:rPr>
          <w:rFonts w:ascii="宋体" w:eastAsia="宋体" w:hAnsi="宋体" w:hint="eastAsia"/>
          <w:sz w:val="24"/>
          <w:szCs w:val="18"/>
        </w:rPr>
        <w:t>、</w:t>
      </w:r>
      <w:r w:rsidRPr="00BA4115">
        <w:rPr>
          <w:rFonts w:ascii="宋体" w:eastAsia="宋体" w:hAnsi="宋体"/>
          <w:sz w:val="24"/>
          <w:szCs w:val="18"/>
        </w:rPr>
        <w:t xml:space="preserve"> 技术服务要求及质保要求</w:t>
      </w:r>
    </w:p>
    <w:p w:rsidR="00BA4115" w:rsidRPr="00BA4115" w:rsidRDefault="00BA4115" w:rsidP="00BA4115">
      <w:pPr>
        <w:adjustRightInd w:val="0"/>
        <w:snapToGrid w:val="0"/>
        <w:spacing w:beforeLines="50" w:before="156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/>
          <w:sz w:val="24"/>
          <w:szCs w:val="18"/>
        </w:rPr>
        <w:t>2.4</w:t>
      </w:r>
      <w:r w:rsidRPr="00BA4115">
        <w:rPr>
          <w:rFonts w:ascii="宋体" w:eastAsia="宋体" w:hAnsi="宋体" w:hint="eastAsia"/>
          <w:sz w:val="24"/>
          <w:szCs w:val="18"/>
        </w:rPr>
        <w:t>.1、保修期自仪器设备通过验收之日起为期1年。</w:t>
      </w:r>
    </w:p>
    <w:p w:rsidR="00BA4115" w:rsidRPr="00BA4115" w:rsidRDefault="00BA4115" w:rsidP="00BA4115">
      <w:pPr>
        <w:adjustRightInd w:val="0"/>
        <w:snapToGrid w:val="0"/>
        <w:spacing w:beforeLines="50" w:before="156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/>
          <w:sz w:val="24"/>
          <w:szCs w:val="18"/>
        </w:rPr>
        <w:t>2.4.</w:t>
      </w:r>
      <w:r w:rsidRPr="00BA4115">
        <w:rPr>
          <w:rFonts w:ascii="宋体" w:eastAsia="宋体" w:hAnsi="宋体" w:hint="eastAsia"/>
          <w:sz w:val="24"/>
          <w:szCs w:val="18"/>
        </w:rPr>
        <w:t>2、供方在接到故障申报后8小时内给与反馈，并提出解决问题和排除故障的方案，如需到现场，维修人员在</w:t>
      </w:r>
      <w:r w:rsidRPr="00BA4115">
        <w:rPr>
          <w:rFonts w:ascii="宋体" w:eastAsia="宋体" w:hAnsi="宋体"/>
          <w:sz w:val="24"/>
          <w:szCs w:val="18"/>
        </w:rPr>
        <w:t>2</w:t>
      </w:r>
      <w:r w:rsidRPr="00BA4115">
        <w:rPr>
          <w:rFonts w:ascii="宋体" w:eastAsia="宋体" w:hAnsi="宋体" w:hint="eastAsia"/>
          <w:sz w:val="24"/>
          <w:szCs w:val="18"/>
        </w:rPr>
        <w:t>个工作日内达到现场。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/>
          <w:sz w:val="24"/>
          <w:szCs w:val="18"/>
        </w:rPr>
        <w:t>2.6</w:t>
      </w:r>
      <w:r w:rsidRPr="00BA4115">
        <w:rPr>
          <w:rFonts w:ascii="宋体" w:eastAsia="宋体" w:hAnsi="宋体" w:hint="eastAsia"/>
          <w:sz w:val="24"/>
          <w:szCs w:val="18"/>
        </w:rPr>
        <w:t>、</w:t>
      </w:r>
      <w:r w:rsidRPr="00BA4115">
        <w:rPr>
          <w:rFonts w:ascii="宋体" w:eastAsia="宋体" w:hAnsi="宋体"/>
          <w:sz w:val="24"/>
          <w:szCs w:val="18"/>
        </w:rPr>
        <w:t>验收标准及验收程序</w:t>
      </w:r>
      <w:r w:rsidRPr="00BA4115">
        <w:rPr>
          <w:rFonts w:ascii="宋体" w:eastAsia="宋体" w:hAnsi="宋体"/>
          <w:sz w:val="24"/>
          <w:szCs w:val="18"/>
        </w:rPr>
        <w:tab/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/>
          <w:sz w:val="24"/>
          <w:szCs w:val="18"/>
        </w:rPr>
        <w:t>2.</w:t>
      </w:r>
      <w:r w:rsidRPr="00BA4115">
        <w:rPr>
          <w:rFonts w:ascii="宋体" w:eastAsia="宋体" w:hAnsi="宋体" w:hint="eastAsia"/>
          <w:sz w:val="24"/>
          <w:szCs w:val="18"/>
        </w:rPr>
        <w:t>6.1、按照技术指标及合同验收</w:t>
      </w:r>
    </w:p>
    <w:p w:rsidR="00BA4115" w:rsidRPr="00BA4115" w:rsidRDefault="00BA4115" w:rsidP="00BA4115">
      <w:pPr>
        <w:adjustRightInd w:val="0"/>
        <w:snapToGrid w:val="0"/>
        <w:spacing w:beforeLines="50" w:before="156" w:line="360" w:lineRule="auto"/>
        <w:rPr>
          <w:rFonts w:ascii="宋体" w:eastAsia="宋体" w:hAnsi="宋体"/>
          <w:sz w:val="24"/>
          <w:szCs w:val="18"/>
        </w:rPr>
      </w:pPr>
      <w:r w:rsidRPr="00BA4115">
        <w:rPr>
          <w:rFonts w:ascii="宋体" w:eastAsia="宋体" w:hAnsi="宋体" w:hint="eastAsia"/>
          <w:sz w:val="24"/>
          <w:szCs w:val="18"/>
        </w:rPr>
        <w:t>2.6.2、提供制造过程记录文件以及产品质量检验检测报告以供验收。</w:t>
      </w:r>
    </w:p>
    <w:p w:rsidR="00BA4115" w:rsidRPr="00BA4115" w:rsidRDefault="00BA4115"/>
    <w:sectPr w:rsidR="00BA4115" w:rsidRPr="00BA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仿宋_GB2312">
    <w:altName w:val="@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15"/>
    <w:rsid w:val="00B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8B9D7-1790-4D4E-8494-05A7900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15"/>
    <w:pPr>
      <w:widowControl w:val="0"/>
      <w:jc w:val="both"/>
    </w:pPr>
    <w:rPr>
      <w:rFonts w:ascii="@仿宋_GB2312" w:eastAsia="@仿宋_GB2312" w:hAnsi="@仿宋_GB2312" w:cs="@仿宋_GB23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1">
    <w:name w:val="xl31"/>
    <w:basedOn w:val="a"/>
    <w:qFormat/>
    <w:rsid w:val="00BA4115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DL">
    <w:name w:val="D&amp;L"/>
    <w:basedOn w:val="a3"/>
    <w:rsid w:val="00BA4115"/>
    <w:pPr>
      <w:pBdr>
        <w:bottom w:val="thinThickSmallGap" w:sz="18" w:space="1" w:color="auto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A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A4115"/>
    <w:rPr>
      <w:rFonts w:ascii="@仿宋_GB2312" w:eastAsia="@仿宋_GB2312" w:hAnsi="@仿宋_GB2312" w:cs="@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2025-04-16T02:55:00Z</dcterms:created>
  <dcterms:modified xsi:type="dcterms:W3CDTF">2025-04-16T02:56:00Z</dcterms:modified>
</cp:coreProperties>
</file>